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7" w:type="dxa"/>
        <w:tblLayout w:type="fixed"/>
        <w:tblLook w:val="0000" w:firstRow="0" w:lastRow="0" w:firstColumn="0" w:lastColumn="0" w:noHBand="0" w:noVBand="0"/>
      </w:tblPr>
      <w:tblGrid>
        <w:gridCol w:w="1720"/>
        <w:gridCol w:w="7947"/>
      </w:tblGrid>
      <w:tr w:rsidR="001A4659" w:rsidRPr="001A4659" w14:paraId="5C682039" w14:textId="77777777" w:rsidTr="00FD1052">
        <w:trPr>
          <w:trHeight w:val="1670"/>
        </w:trPr>
        <w:tc>
          <w:tcPr>
            <w:tcW w:w="1720" w:type="dxa"/>
            <w:vAlign w:val="center"/>
          </w:tcPr>
          <w:p w14:paraId="705C0E5E" w14:textId="77777777" w:rsidR="001A4659" w:rsidRPr="001A4659" w:rsidRDefault="001A4659" w:rsidP="001A4659">
            <w:pPr>
              <w:tabs>
                <w:tab w:val="center" w:pos="4536"/>
                <w:tab w:val="right" w:pos="9072"/>
              </w:tabs>
              <w:spacing w:after="0" w:line="240" w:lineRule="auto"/>
              <w:rPr>
                <w:rFonts w:ascii="Arial" w:hAnsi="Arial"/>
                <w:kern w:val="0"/>
                <w:lang w:val="sr-Latn-BA"/>
                <w14:ligatures w14:val="none"/>
              </w:rPr>
            </w:pPr>
            <w:r w:rsidRPr="001A4659">
              <w:rPr>
                <w:noProof/>
                <w:kern w:val="0"/>
                <w:lang w:val="sr-Latn-BA"/>
                <w14:ligatures w14:val="none"/>
              </w:rPr>
              <w:drawing>
                <wp:inline distT="0" distB="0" distL="0" distR="0" wp14:anchorId="21A9146F" wp14:editId="6E81A51D">
                  <wp:extent cx="790575" cy="1019175"/>
                  <wp:effectExtent l="0" t="0" r="9525" b="9525"/>
                  <wp:docPr id="129076692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tc>
        <w:tc>
          <w:tcPr>
            <w:tcW w:w="7947" w:type="dxa"/>
            <w:vAlign w:val="center"/>
          </w:tcPr>
          <w:p w14:paraId="16A015CD" w14:textId="77777777" w:rsidR="001A4659" w:rsidRPr="001A4659" w:rsidRDefault="001A4659" w:rsidP="001A4659">
            <w:pPr>
              <w:rPr>
                <w:rFonts w:ascii="Times New Roman" w:hAnsi="Times New Roman"/>
                <w:color w:val="999999"/>
                <w:kern w:val="0"/>
                <w:lang w:val="sr-Latn-BA"/>
                <w14:ligatures w14:val="none"/>
              </w:rPr>
            </w:pPr>
          </w:p>
          <w:p w14:paraId="16711172" w14:textId="77777777" w:rsidR="001A4659" w:rsidRPr="001A4659" w:rsidRDefault="001A4659" w:rsidP="001A4659">
            <w:pPr>
              <w:spacing w:after="0"/>
              <w:rPr>
                <w:kern w:val="0"/>
                <w14:ligatures w14:val="none"/>
              </w:rPr>
            </w:pPr>
            <w:r w:rsidRPr="001A4659">
              <w:rPr>
                <w:kern w:val="0"/>
                <w14:ligatures w14:val="none"/>
              </w:rPr>
              <w:t xml:space="preserve">Bosna i Hercegovina                                                                                      </w:t>
            </w:r>
          </w:p>
          <w:p w14:paraId="0AB71031" w14:textId="77777777" w:rsidR="001A4659" w:rsidRPr="001A4659" w:rsidRDefault="001A4659" w:rsidP="001A4659">
            <w:pPr>
              <w:spacing w:after="0"/>
              <w:rPr>
                <w:b/>
                <w:bCs/>
                <w:kern w:val="0"/>
                <w14:ligatures w14:val="none"/>
              </w:rPr>
            </w:pPr>
            <w:r w:rsidRPr="001A4659">
              <w:rPr>
                <w:b/>
                <w:bCs/>
                <w:kern w:val="0"/>
                <w14:ligatures w14:val="none"/>
              </w:rPr>
              <w:t xml:space="preserve">Federacija Bosne i Hercegovine                                              </w:t>
            </w:r>
          </w:p>
          <w:p w14:paraId="2BF4F01C" w14:textId="77777777" w:rsidR="001A4659" w:rsidRPr="001A4659" w:rsidRDefault="001A4659" w:rsidP="001A4659">
            <w:pPr>
              <w:spacing w:after="0"/>
              <w:rPr>
                <w:b/>
                <w:bCs/>
                <w:kern w:val="0"/>
                <w14:ligatures w14:val="none"/>
              </w:rPr>
            </w:pPr>
            <w:r w:rsidRPr="001A4659">
              <w:rPr>
                <w:b/>
                <w:bCs/>
                <w:kern w:val="0"/>
                <w14:ligatures w14:val="none"/>
              </w:rPr>
              <w:t>KANTONALNO MINISTARSTVO  PROSTORNOG UREĐENJA, GRAĐENJA, ZAŠTITE OKOLIŠA, POVRATKA i STAMBENIH POSLOVA</w:t>
            </w:r>
          </w:p>
          <w:p w14:paraId="6EAC2082" w14:textId="77777777" w:rsidR="001A4659" w:rsidRPr="001A4659" w:rsidRDefault="001A4659" w:rsidP="001A4659">
            <w:pPr>
              <w:tabs>
                <w:tab w:val="center" w:pos="4536"/>
                <w:tab w:val="right" w:pos="9072"/>
              </w:tabs>
              <w:spacing w:after="0" w:line="240" w:lineRule="auto"/>
              <w:rPr>
                <w:rFonts w:ascii="Times New Roman" w:hAnsi="Times New Roman"/>
                <w:color w:val="999999"/>
                <w:kern w:val="0"/>
                <w:lang w:val="sr-Latn-BA"/>
                <w14:ligatures w14:val="none"/>
              </w:rPr>
            </w:pPr>
            <w:r w:rsidRPr="001A4659">
              <w:rPr>
                <w:b/>
                <w:bCs/>
                <w:kern w:val="0"/>
                <w14:ligatures w14:val="none"/>
              </w:rPr>
              <w:t xml:space="preserve">TRAVNIK                                                                       </w:t>
            </w:r>
          </w:p>
        </w:tc>
      </w:tr>
    </w:tbl>
    <w:p w14:paraId="6939FAEC" w14:textId="77777777" w:rsidR="001A4659" w:rsidRDefault="001A4659" w:rsidP="00A341B9">
      <w:pPr>
        <w:tabs>
          <w:tab w:val="left" w:pos="1950"/>
        </w:tabs>
        <w:spacing w:after="0"/>
      </w:pPr>
    </w:p>
    <w:p w14:paraId="7FA23124" w14:textId="6C8C9B98" w:rsidR="00A341B9" w:rsidRDefault="00A341B9" w:rsidP="00A341B9">
      <w:pPr>
        <w:tabs>
          <w:tab w:val="left" w:pos="1950"/>
        </w:tabs>
        <w:spacing w:after="0"/>
      </w:pPr>
      <w:r>
        <w:t>Broj: UP</w:t>
      </w:r>
      <w:r w:rsidR="0026086E">
        <w:t xml:space="preserve">1- </w:t>
      </w:r>
      <w:r>
        <w:t>0</w:t>
      </w:r>
      <w:r w:rsidR="0026086E">
        <w:t>7</w:t>
      </w:r>
      <w:r>
        <w:t>-</w:t>
      </w:r>
      <w:r w:rsidR="0026086E">
        <w:t>19</w:t>
      </w:r>
      <w:r>
        <w:t>-</w:t>
      </w:r>
      <w:r w:rsidR="0026086E">
        <w:t>6986</w:t>
      </w:r>
      <w:r>
        <w:t>/</w:t>
      </w:r>
      <w:r w:rsidR="0026086E">
        <w:t>23</w:t>
      </w:r>
      <w:r>
        <w:t xml:space="preserve"> </w:t>
      </w:r>
    </w:p>
    <w:p w14:paraId="7C37BEDC" w14:textId="2EC6EF9D" w:rsidR="00A341B9" w:rsidRDefault="0026086E" w:rsidP="00A341B9">
      <w:pPr>
        <w:tabs>
          <w:tab w:val="left" w:pos="1950"/>
        </w:tabs>
        <w:spacing w:after="0"/>
      </w:pPr>
      <w:r>
        <w:t>Datum</w:t>
      </w:r>
      <w:r w:rsidR="00A341B9">
        <w:t xml:space="preserve">: </w:t>
      </w:r>
      <w:r w:rsidR="00054E51">
        <w:t xml:space="preserve"> </w:t>
      </w:r>
      <w:r w:rsidR="004C58E7">
        <w:t>14</w:t>
      </w:r>
      <w:r w:rsidR="00A341B9">
        <w:t>.</w:t>
      </w:r>
      <w:r>
        <w:t>11</w:t>
      </w:r>
      <w:r w:rsidR="00A341B9">
        <w:t>.20</w:t>
      </w:r>
      <w:r>
        <w:t>23</w:t>
      </w:r>
      <w:r w:rsidR="00A341B9">
        <w:t>.godine</w:t>
      </w:r>
    </w:p>
    <w:p w14:paraId="4D481A06" w14:textId="77777777" w:rsidR="0026086E" w:rsidRDefault="0026086E" w:rsidP="00A341B9">
      <w:pPr>
        <w:tabs>
          <w:tab w:val="left" w:pos="1950"/>
        </w:tabs>
        <w:spacing w:after="0"/>
      </w:pPr>
    </w:p>
    <w:p w14:paraId="47BF8279" w14:textId="47A96619" w:rsidR="0026086E" w:rsidRPr="00054E51" w:rsidRDefault="0026086E" w:rsidP="00054E51">
      <w:pPr>
        <w:spacing w:after="0"/>
        <w:jc w:val="both"/>
        <w:rPr>
          <w:kern w:val="0"/>
          <w14:ligatures w14:val="none"/>
        </w:rPr>
      </w:pPr>
      <w:r w:rsidRPr="0026086E">
        <w:rPr>
          <w:kern w:val="0"/>
          <w14:ligatures w14:val="none"/>
        </w:rPr>
        <w:t xml:space="preserve">Kantonalno ministarstvo prostornog uređenja, građenja, zaštite okoliša, povratka i stambenih poslova, rješavajući zahtjev operatora </w:t>
      </w:r>
      <w:r>
        <w:t xml:space="preserve">poduzeća </w:t>
      </w:r>
      <w:r w:rsidR="00FA20C4">
        <w:t>„</w:t>
      </w:r>
      <w:r>
        <w:t>UNIS</w:t>
      </w:r>
      <w:r w:rsidR="00FA20C4">
        <w:t xml:space="preserve"> - </w:t>
      </w:r>
      <w:r>
        <w:t>ENERGETIKA“ d.o.o. Sarajevo – Podružnica Novi Travnik</w:t>
      </w:r>
      <w:r w:rsidRPr="0026086E">
        <w:rPr>
          <w:kern w:val="0"/>
          <w14:ligatures w14:val="none"/>
        </w:rPr>
        <w:t>, na osnovu čl. 86. Zakona o zaštiti okoliša („Službene novine Federacije BiH“, br. 15/21), te čl.3 Prilog II, točka 1, alineja 1.1. Uredbe kojom se utvrđuju pogoni i postrojenja koja moraju imati okolišnu dozvolu („ Sl.novine FBiH“, broj: 51/21, 74/22) i čl. 200 Zakona o upravnom postupku („Službene novine Federacije BiH“, br. 02/98, 48/99),   d o n o s i:</w:t>
      </w:r>
    </w:p>
    <w:p w14:paraId="4A16059D" w14:textId="77777777" w:rsidR="00A341B9" w:rsidRDefault="00A341B9" w:rsidP="00A341B9">
      <w:pPr>
        <w:tabs>
          <w:tab w:val="left" w:pos="1950"/>
        </w:tabs>
        <w:spacing w:after="0"/>
      </w:pPr>
    </w:p>
    <w:p w14:paraId="7EFE1CF5" w14:textId="6A76D63D" w:rsidR="00A341B9" w:rsidRDefault="00A341B9" w:rsidP="00A341B9">
      <w:pPr>
        <w:tabs>
          <w:tab w:val="left" w:pos="1950"/>
        </w:tabs>
        <w:spacing w:after="0"/>
        <w:jc w:val="center"/>
        <w:rPr>
          <w:b/>
          <w:bCs/>
        </w:rPr>
      </w:pPr>
      <w:r w:rsidRPr="00A341B9">
        <w:rPr>
          <w:b/>
          <w:bCs/>
        </w:rPr>
        <w:t>R</w:t>
      </w:r>
      <w:r w:rsidR="0026086E">
        <w:rPr>
          <w:b/>
          <w:bCs/>
        </w:rPr>
        <w:t xml:space="preserve"> </w:t>
      </w:r>
      <w:r w:rsidRPr="00A341B9">
        <w:rPr>
          <w:b/>
          <w:bCs/>
        </w:rPr>
        <w:t>J</w:t>
      </w:r>
      <w:r w:rsidR="0026086E">
        <w:rPr>
          <w:b/>
          <w:bCs/>
        </w:rPr>
        <w:t xml:space="preserve"> </w:t>
      </w:r>
      <w:r w:rsidRPr="00A341B9">
        <w:rPr>
          <w:b/>
          <w:bCs/>
        </w:rPr>
        <w:t>E</w:t>
      </w:r>
      <w:r w:rsidR="0026086E">
        <w:rPr>
          <w:b/>
          <w:bCs/>
        </w:rPr>
        <w:t xml:space="preserve"> </w:t>
      </w:r>
      <w:r w:rsidRPr="00A341B9">
        <w:rPr>
          <w:b/>
          <w:bCs/>
        </w:rPr>
        <w:t>Š</w:t>
      </w:r>
      <w:r w:rsidR="0026086E">
        <w:rPr>
          <w:b/>
          <w:bCs/>
        </w:rPr>
        <w:t xml:space="preserve"> </w:t>
      </w:r>
      <w:r w:rsidRPr="00A341B9">
        <w:rPr>
          <w:b/>
          <w:bCs/>
        </w:rPr>
        <w:t>E</w:t>
      </w:r>
      <w:r w:rsidR="0026086E">
        <w:rPr>
          <w:b/>
          <w:bCs/>
        </w:rPr>
        <w:t xml:space="preserve"> </w:t>
      </w:r>
      <w:r w:rsidRPr="00A341B9">
        <w:rPr>
          <w:b/>
          <w:bCs/>
        </w:rPr>
        <w:t>NJ</w:t>
      </w:r>
      <w:r w:rsidR="0026086E">
        <w:rPr>
          <w:b/>
          <w:bCs/>
        </w:rPr>
        <w:t xml:space="preserve"> </w:t>
      </w:r>
      <w:r w:rsidRPr="00A341B9">
        <w:rPr>
          <w:b/>
          <w:bCs/>
        </w:rPr>
        <w:t>E</w:t>
      </w:r>
    </w:p>
    <w:p w14:paraId="3CF8C6E9" w14:textId="77777777" w:rsidR="00A341B9" w:rsidRDefault="00A341B9" w:rsidP="00A341B9">
      <w:pPr>
        <w:tabs>
          <w:tab w:val="left" w:pos="1950"/>
        </w:tabs>
        <w:spacing w:after="0"/>
        <w:rPr>
          <w:b/>
          <w:bCs/>
        </w:rPr>
      </w:pPr>
    </w:p>
    <w:p w14:paraId="003F48B1" w14:textId="0646DF58" w:rsidR="006F45F7" w:rsidRPr="00FC2ABF" w:rsidRDefault="00A341B9" w:rsidP="00FC2ABF">
      <w:pPr>
        <w:pStyle w:val="Odlomakpopisa"/>
        <w:numPr>
          <w:ilvl w:val="0"/>
          <w:numId w:val="12"/>
        </w:numPr>
        <w:tabs>
          <w:tab w:val="left" w:pos="1950"/>
        </w:tabs>
        <w:spacing w:after="0"/>
        <w:jc w:val="both"/>
        <w:rPr>
          <w:b/>
          <w:bCs/>
        </w:rPr>
      </w:pPr>
      <w:r w:rsidRPr="00FC2ABF">
        <w:rPr>
          <w:b/>
          <w:bCs/>
        </w:rPr>
        <w:t>Izdaje se okolišna dozvola</w:t>
      </w:r>
      <w:r>
        <w:t xml:space="preserve"> operateru </w:t>
      </w:r>
      <w:r w:rsidR="00ED0040">
        <w:t>„</w:t>
      </w:r>
      <w:r>
        <w:t>UNIS</w:t>
      </w:r>
      <w:r w:rsidR="00ED0040">
        <w:t xml:space="preserve"> - </w:t>
      </w:r>
      <w:r>
        <w:t xml:space="preserve">ENERGETIKA“ d.o.o. Sarajevo – Podružnica Novi Travnik </w:t>
      </w:r>
      <w:r w:rsidR="006F45F7">
        <w:t xml:space="preserve">smještena u industrijskoj zoni „BNT2 u Novom Travniku </w:t>
      </w:r>
      <w:r>
        <w:t>za postojeće pogone i postrojenja za proizvodnju i distribuciju toplotne energije (suhozasićene vodene pare i vrele vode), snage 52 MW</w:t>
      </w:r>
      <w:r w:rsidR="00054E51">
        <w:t xml:space="preserve"> (2x26 MW)</w:t>
      </w:r>
      <w:r>
        <w:t xml:space="preserve"> i izgrađene distributi</w:t>
      </w:r>
      <w:r w:rsidR="006F45F7">
        <w:t>v</w:t>
      </w:r>
      <w:r>
        <w:t>ne toplotne mreže za industrijsku zonu „BNT“ Novi Travnik i distributi</w:t>
      </w:r>
      <w:r w:rsidR="006F45F7">
        <w:t>v</w:t>
      </w:r>
      <w:r>
        <w:t>ne vrelovodne mreže do gradskog područja Općine Novi Travnik</w:t>
      </w:r>
      <w:r w:rsidR="006F45F7">
        <w:t xml:space="preserve"> izgrađen je na parcelama označenim kao: </w:t>
      </w:r>
    </w:p>
    <w:p w14:paraId="6E1CE8BD" w14:textId="0E98A5DB" w:rsidR="00577DFC" w:rsidRDefault="00577DFC" w:rsidP="00577DFC">
      <w:pPr>
        <w:tabs>
          <w:tab w:val="left" w:pos="1950"/>
        </w:tabs>
        <w:spacing w:after="0"/>
        <w:jc w:val="both"/>
      </w:pPr>
      <w:r>
        <w:t xml:space="preserve">             </w:t>
      </w:r>
      <w:r w:rsidR="006F45F7">
        <w:t xml:space="preserve"> ZK 1343 KO: SP_Kasapovići</w:t>
      </w:r>
    </w:p>
    <w:p w14:paraId="03CB0D28" w14:textId="77777777" w:rsidR="00577DFC" w:rsidRDefault="00577DFC" w:rsidP="00577DFC">
      <w:pPr>
        <w:tabs>
          <w:tab w:val="left" w:pos="1950"/>
        </w:tabs>
        <w:spacing w:after="0"/>
        <w:jc w:val="both"/>
      </w:pPr>
      <w:r>
        <w:t xml:space="preserve">             </w:t>
      </w:r>
      <w:r w:rsidR="006F45F7">
        <w:t xml:space="preserve"> k.č. 350/31 – II poslovni objekat toplana</w:t>
      </w:r>
      <w:r>
        <w:t>,</w:t>
      </w:r>
      <w:r w:rsidR="006F45F7">
        <w:t xml:space="preserve"> k.č. 350/32 – </w:t>
      </w:r>
      <w:r>
        <w:t xml:space="preserve">  </w:t>
      </w:r>
      <w:r w:rsidR="006F45F7">
        <w:t>Trafostanica</w:t>
      </w:r>
      <w:r>
        <w:t xml:space="preserve">, </w:t>
      </w:r>
      <w:r w:rsidR="006F45F7">
        <w:t xml:space="preserve">k.č. 350/33 - poslovni </w:t>
      </w:r>
    </w:p>
    <w:p w14:paraId="669694E5" w14:textId="77777777" w:rsidR="00577DFC" w:rsidRDefault="00577DFC" w:rsidP="00577DFC">
      <w:pPr>
        <w:tabs>
          <w:tab w:val="left" w:pos="1950"/>
        </w:tabs>
        <w:spacing w:after="0"/>
        <w:jc w:val="both"/>
      </w:pPr>
      <w:r>
        <w:t xml:space="preserve">              </w:t>
      </w:r>
      <w:r w:rsidR="006F45F7">
        <w:t>objekat II Toplana k.č. 350/34 II poslovni objekat upravna</w:t>
      </w:r>
      <w:r>
        <w:t xml:space="preserve"> z</w:t>
      </w:r>
      <w:r w:rsidR="006F45F7">
        <w:t>grada</w:t>
      </w:r>
      <w:r>
        <w:t>,</w:t>
      </w:r>
      <w:r w:rsidR="006F45F7">
        <w:t xml:space="preserve"> k.č.350/35 – II poslovni</w:t>
      </w:r>
    </w:p>
    <w:p w14:paraId="417EA0E2" w14:textId="77777777" w:rsidR="00577DFC" w:rsidRDefault="00577DFC" w:rsidP="00577DFC">
      <w:pPr>
        <w:tabs>
          <w:tab w:val="left" w:pos="1950"/>
        </w:tabs>
        <w:spacing w:after="0"/>
        <w:jc w:val="both"/>
      </w:pPr>
      <w:r>
        <w:t xml:space="preserve">             </w:t>
      </w:r>
      <w:r w:rsidR="006F45F7">
        <w:t xml:space="preserve"> objekat toplana</w:t>
      </w:r>
      <w:r>
        <w:t>,</w:t>
      </w:r>
      <w:r w:rsidR="006F45F7">
        <w:t xml:space="preserve"> k.č. 350/36 - II poslovni objekat toplana</w:t>
      </w:r>
      <w:r>
        <w:t>,</w:t>
      </w:r>
      <w:r w:rsidR="006F45F7">
        <w:t xml:space="preserve"> k.č.</w:t>
      </w:r>
      <w:r>
        <w:t xml:space="preserve"> </w:t>
      </w:r>
      <w:r w:rsidR="006F45F7">
        <w:t>350/37 –</w:t>
      </w:r>
      <w:r>
        <w:t xml:space="preserve"> </w:t>
      </w:r>
      <w:r w:rsidR="006F45F7">
        <w:t>ekonomsko dvorište</w:t>
      </w:r>
      <w:r>
        <w:t>,</w:t>
      </w:r>
    </w:p>
    <w:p w14:paraId="7A191F40" w14:textId="3A52B014" w:rsidR="00A341B9" w:rsidRDefault="00577DFC" w:rsidP="00577DFC">
      <w:pPr>
        <w:tabs>
          <w:tab w:val="left" w:pos="1950"/>
        </w:tabs>
        <w:spacing w:after="0"/>
        <w:jc w:val="both"/>
      </w:pPr>
      <w:r>
        <w:t xml:space="preserve">             </w:t>
      </w:r>
      <w:r w:rsidR="006F45F7">
        <w:t xml:space="preserve"> k.č. 350/82 – ekonomsko dvorište</w:t>
      </w:r>
      <w:r>
        <w:t>.</w:t>
      </w:r>
    </w:p>
    <w:p w14:paraId="546D6C5E" w14:textId="77777777" w:rsidR="006F45F7" w:rsidRDefault="006F45F7" w:rsidP="00A341B9">
      <w:pPr>
        <w:pStyle w:val="Odlomakpopisa"/>
        <w:tabs>
          <w:tab w:val="left" w:pos="1950"/>
        </w:tabs>
        <w:spacing w:after="0"/>
        <w:rPr>
          <w:b/>
          <w:bCs/>
        </w:rPr>
      </w:pPr>
    </w:p>
    <w:p w14:paraId="467FB31F" w14:textId="6E929C58" w:rsidR="00A341B9" w:rsidRPr="00FC2ABF" w:rsidRDefault="00A341B9" w:rsidP="00FC2ABF">
      <w:pPr>
        <w:pStyle w:val="Odlomakpopisa"/>
        <w:numPr>
          <w:ilvl w:val="0"/>
          <w:numId w:val="12"/>
        </w:numPr>
        <w:tabs>
          <w:tab w:val="left" w:pos="1950"/>
        </w:tabs>
        <w:spacing w:after="0"/>
        <w:rPr>
          <w:b/>
          <w:bCs/>
        </w:rPr>
      </w:pPr>
      <w:r w:rsidRPr="00FC2ABF">
        <w:rPr>
          <w:b/>
          <w:bCs/>
        </w:rPr>
        <w:t>Pogoni za koja se izdaje dozvola</w:t>
      </w:r>
    </w:p>
    <w:p w14:paraId="2AFDE50F" w14:textId="749D3E4A" w:rsidR="00577DFC" w:rsidRDefault="00A341B9" w:rsidP="00054E51">
      <w:pPr>
        <w:tabs>
          <w:tab w:val="left" w:pos="1950"/>
        </w:tabs>
        <w:spacing w:after="0"/>
        <w:jc w:val="both"/>
      </w:pPr>
      <w:r>
        <w:rPr>
          <w:b/>
          <w:bCs/>
        </w:rPr>
        <w:t xml:space="preserve">        </w:t>
      </w:r>
      <w:r>
        <w:t>Toplana je projektovana i izgrađena u dvije faze. U kotlovnici su instalirane dvije kotlovske</w:t>
      </w:r>
    </w:p>
    <w:p w14:paraId="644E5B43" w14:textId="032B37D5" w:rsidR="00577DFC" w:rsidRDefault="00577DFC" w:rsidP="00054E51">
      <w:pPr>
        <w:tabs>
          <w:tab w:val="left" w:pos="1950"/>
        </w:tabs>
        <w:spacing w:after="0"/>
        <w:jc w:val="both"/>
      </w:pPr>
      <w:r>
        <w:t xml:space="preserve">   </w:t>
      </w:r>
      <w:r w:rsidR="00A341B9">
        <w:t xml:space="preserve"> </w:t>
      </w:r>
      <w:r>
        <w:t xml:space="preserve">    </w:t>
      </w:r>
      <w:r w:rsidR="00A341B9">
        <w:t xml:space="preserve">jedinice K4 </w:t>
      </w:r>
      <w:r>
        <w:t>i</w:t>
      </w:r>
      <w:r w:rsidR="00A341B9">
        <w:t xml:space="preserve"> K5</w:t>
      </w:r>
      <w:r w:rsidR="003C1100">
        <w:t xml:space="preserve"> (parni kotlovi na ugalj), kapaciteta 40 t/h suho zasićene pare pritiska 11 bara.</w:t>
      </w:r>
    </w:p>
    <w:p w14:paraId="06B3BFFF" w14:textId="4EFF026D" w:rsidR="00577DFC" w:rsidRDefault="00577DFC" w:rsidP="00054E51">
      <w:pPr>
        <w:tabs>
          <w:tab w:val="left" w:pos="1950"/>
        </w:tabs>
        <w:spacing w:after="0"/>
        <w:jc w:val="both"/>
      </w:pPr>
      <w:r>
        <w:t xml:space="preserve">      </w:t>
      </w:r>
      <w:r w:rsidR="003C1100">
        <w:t xml:space="preserve"> </w:t>
      </w:r>
      <w:r>
        <w:t xml:space="preserve"> </w:t>
      </w:r>
      <w:r w:rsidR="003C1100">
        <w:t xml:space="preserve">Kotlovsko postrojenje se sastoji od dva identična kotla snage po 26 MW i pratećom opremom. </w:t>
      </w:r>
    </w:p>
    <w:p w14:paraId="6E41D4DC" w14:textId="77777777" w:rsidR="00DD6B23" w:rsidRPr="00DD6B23" w:rsidRDefault="00DD6B23" w:rsidP="00054E51">
      <w:pPr>
        <w:spacing w:after="0"/>
        <w:jc w:val="both"/>
        <w:rPr>
          <w:kern w:val="0"/>
          <w:lang w:val="sr-Latn-BA"/>
          <w14:ligatures w14:val="none"/>
        </w:rPr>
      </w:pPr>
      <w:r>
        <w:t xml:space="preserve">        </w:t>
      </w:r>
      <w:r w:rsidRPr="00DD6B23">
        <w:rPr>
          <w:kern w:val="0"/>
          <w:lang w:val="sr-Latn-BA"/>
          <w14:ligatures w14:val="none"/>
        </w:rPr>
        <w:t>Tehnološke jedinice koje nisu navedene u Prilogu I. ili Prilogu II. (direktno povezane djelatnosti):</w:t>
      </w:r>
    </w:p>
    <w:p w14:paraId="06EC4AF1" w14:textId="77777777" w:rsidR="00DD6B23" w:rsidRDefault="00DD6B23" w:rsidP="00054E51">
      <w:pPr>
        <w:tabs>
          <w:tab w:val="left" w:pos="1950"/>
        </w:tabs>
        <w:spacing w:after="0"/>
        <w:jc w:val="both"/>
        <w:rPr>
          <w:lang w:val="sr-Latn-BA"/>
        </w:rPr>
      </w:pPr>
      <w:r>
        <w:rPr>
          <w:lang w:val="sr-Latn-BA"/>
        </w:rPr>
        <w:t xml:space="preserve">        Alatnica, magacin čelika, tank za lako ulje, skladište repromaterijala, radionica za održavanje, </w:t>
      </w:r>
    </w:p>
    <w:p w14:paraId="13D123BC" w14:textId="4786BAA8" w:rsidR="00DD6B23" w:rsidRPr="00DD6B23" w:rsidRDefault="00DD6B23" w:rsidP="00054E51">
      <w:pPr>
        <w:tabs>
          <w:tab w:val="left" w:pos="1950"/>
        </w:tabs>
        <w:spacing w:after="0"/>
        <w:jc w:val="both"/>
        <w:rPr>
          <w:lang w:val="sr-Latn-BA"/>
        </w:rPr>
      </w:pPr>
      <w:r>
        <w:rPr>
          <w:lang w:val="sr-Latn-BA"/>
        </w:rPr>
        <w:t xml:space="preserve">        upravna zgrada, deponija za ugalj, deponija za šljaku.</w:t>
      </w:r>
    </w:p>
    <w:p w14:paraId="1A7E2090" w14:textId="5FCC09FA" w:rsidR="003C1100" w:rsidRDefault="003C1100" w:rsidP="00054E51">
      <w:pPr>
        <w:tabs>
          <w:tab w:val="left" w:pos="1950"/>
        </w:tabs>
        <w:spacing w:after="0"/>
        <w:ind w:left="360"/>
        <w:jc w:val="both"/>
      </w:pPr>
      <w:r>
        <w:t xml:space="preserve">Trenutno su u kotlovnici instalirane dvije kotlovske jedinice K4 </w:t>
      </w:r>
      <w:r w:rsidR="00577DFC">
        <w:t>i</w:t>
      </w:r>
      <w:r>
        <w:t xml:space="preserve"> K5 (parni kotlovi na ugalj), kapaciteta 40 t/h sugo zasićene pare pritiska 11 bara. Kotlovi su projektovani za rad sa mrkim ugljevima granulacije grah-orah (5-30 mm), Hdmin= 15.000 kJ/kg. Čelični bunkeri (koševi) za ugalj su oslonjeni na armirano-betonsku konstrukciju kotlovnice kapaciteta 2 x 65m3. U kotlovnici su smještena 2 identična kotla snage po 26 MW, proizvođača TPK Zagreb</w:t>
      </w:r>
      <w:r w:rsidR="00F510FB">
        <w:t xml:space="preserve"> – Industrija termoenergetskih postrojenja, procesne opreme i kotlova, i pratećom opremom. Kotlovi su označeni oznakama K4 i K5. Zbog nedostatka konzuma u pogonu je samo kotao K5. Godišnji radni broj sati kotla je oko 4.000 h, a kao energent se koristi ugalj „Banovići“ i „Bila“. Kotlovi su vodocijevni označeni parni kotlovi sa prirodnom cirkulacijom, zavješene izvedbe opremljeni sa lančanom </w:t>
      </w:r>
      <w:r w:rsidR="00F510FB">
        <w:lastRenderedPageBreak/>
        <w:t>mehaničkom rešetkom za sog</w:t>
      </w:r>
      <w:r w:rsidR="004B3F7E">
        <w:t>o</w:t>
      </w:r>
      <w:r w:rsidR="00F510FB">
        <w:t>rjevanje uglja „Bila“. Izvedeni  su u membranskoj izvedbi sa podpritiskom u ložišnom prostoru.</w:t>
      </w:r>
    </w:p>
    <w:p w14:paraId="67473609" w14:textId="1C474697" w:rsidR="00F510FB" w:rsidRDefault="00F510FB" w:rsidP="00F510FB">
      <w:pPr>
        <w:tabs>
          <w:tab w:val="left" w:pos="1950"/>
        </w:tabs>
        <w:spacing w:after="0"/>
        <w:ind w:left="360"/>
        <w:jc w:val="both"/>
      </w:pPr>
      <w:r>
        <w:t>Kotlovi su izvedeni iz cijevnih stijena, kod kojih su cijevi međusobno zavarene na principu cijev-rebro-cijev. Isparne cijevi su vanjskog promjera 70 mm, širine rebra 20 mm, a korak 90 mm.</w:t>
      </w:r>
    </w:p>
    <w:p w14:paraId="452D0478" w14:textId="77777777" w:rsidR="00F510FB" w:rsidRDefault="00F510FB" w:rsidP="003C1100">
      <w:pPr>
        <w:tabs>
          <w:tab w:val="left" w:pos="1950"/>
        </w:tabs>
        <w:spacing w:after="0"/>
        <w:ind w:left="360"/>
      </w:pPr>
    </w:p>
    <w:p w14:paraId="1157B7B5" w14:textId="306AB33D" w:rsidR="00F510FB" w:rsidRDefault="00F510FB" w:rsidP="003C1100">
      <w:pPr>
        <w:tabs>
          <w:tab w:val="left" w:pos="1950"/>
        </w:tabs>
        <w:spacing w:after="0"/>
        <w:ind w:left="360"/>
      </w:pPr>
      <w:r>
        <w:t>Oba kotla se sastoje od sljedećih osnovnih elemenata:</w:t>
      </w:r>
    </w:p>
    <w:p w14:paraId="1A5C6B3D" w14:textId="7EF3C673" w:rsidR="00F510FB" w:rsidRDefault="00F510FB" w:rsidP="00F510FB">
      <w:pPr>
        <w:pStyle w:val="Odlomakpopisa"/>
        <w:numPr>
          <w:ilvl w:val="0"/>
          <w:numId w:val="2"/>
        </w:numPr>
        <w:tabs>
          <w:tab w:val="left" w:pos="1950"/>
        </w:tabs>
        <w:spacing w:after="0"/>
        <w:rPr>
          <w:b/>
          <w:bCs/>
        </w:rPr>
      </w:pPr>
      <w:r w:rsidRPr="00F510FB">
        <w:rPr>
          <w:b/>
          <w:bCs/>
        </w:rPr>
        <w:t>Gornji bubanj</w:t>
      </w:r>
    </w:p>
    <w:p w14:paraId="75C30D41" w14:textId="4AC7CDFE" w:rsidR="00F510FB" w:rsidRDefault="00F510FB" w:rsidP="00485C34">
      <w:pPr>
        <w:pStyle w:val="Odlomakpopisa"/>
        <w:tabs>
          <w:tab w:val="left" w:pos="1950"/>
        </w:tabs>
        <w:spacing w:after="0"/>
        <w:jc w:val="both"/>
      </w:pPr>
      <w:r>
        <w:t>Gornji bubanj je u elektrozavarenoj izvedbi, promjera 1800 mm cilindričpne dužine 6550 mm, zavarenim podnicima, potrebnim priključcima i ulaznim otvorom, materijal H-2. Debljina lima iznosi cca 20 mm. U bubnju se nalaze ugradbe za</w:t>
      </w:r>
      <w:r w:rsidR="00485C34">
        <w:t xml:space="preserve"> odvajanje vode i pare i zagrijač vode.</w:t>
      </w:r>
    </w:p>
    <w:p w14:paraId="3A484165" w14:textId="1CB31DBC" w:rsidR="00485C34" w:rsidRPr="00485C34" w:rsidRDefault="00485C34" w:rsidP="00485C34">
      <w:pPr>
        <w:pStyle w:val="Odlomakpopisa"/>
        <w:numPr>
          <w:ilvl w:val="0"/>
          <w:numId w:val="2"/>
        </w:numPr>
        <w:tabs>
          <w:tab w:val="left" w:pos="1950"/>
        </w:tabs>
        <w:spacing w:after="0"/>
        <w:rPr>
          <w:b/>
          <w:bCs/>
        </w:rPr>
      </w:pPr>
      <w:r w:rsidRPr="00485C34">
        <w:rPr>
          <w:b/>
          <w:bCs/>
        </w:rPr>
        <w:t>Isparni sistem kotla</w:t>
      </w:r>
    </w:p>
    <w:p w14:paraId="00F74A2C" w14:textId="33236162" w:rsidR="008A3811" w:rsidRDefault="00485C34" w:rsidP="00054E51">
      <w:pPr>
        <w:pStyle w:val="Odlomakpopisa"/>
        <w:tabs>
          <w:tab w:val="left" w:pos="1950"/>
        </w:tabs>
        <w:spacing w:after="0"/>
        <w:jc w:val="both"/>
      </w:pPr>
      <w:r>
        <w:t>Sastoji se iz cijevnih ložišta i konvektivnog snopa između gornjeg bubnja i donje komore. Cijevni sistem ložišta je povezan direktno ili preko spojnih cijevi i sabirnih komora sa bubnjevima kotla.</w:t>
      </w:r>
    </w:p>
    <w:p w14:paraId="14BE47C7" w14:textId="5968FE05" w:rsidR="00485C34" w:rsidRPr="00485C34" w:rsidRDefault="00485C34" w:rsidP="00485C34">
      <w:pPr>
        <w:pStyle w:val="Odlomakpopisa"/>
        <w:numPr>
          <w:ilvl w:val="0"/>
          <w:numId w:val="2"/>
        </w:numPr>
        <w:tabs>
          <w:tab w:val="left" w:pos="1950"/>
        </w:tabs>
        <w:spacing w:after="0"/>
        <w:jc w:val="both"/>
        <w:rPr>
          <w:b/>
          <w:bCs/>
        </w:rPr>
      </w:pPr>
      <w:r w:rsidRPr="00485C34">
        <w:rPr>
          <w:b/>
          <w:bCs/>
        </w:rPr>
        <w:t>Konektivni snop između dva bubnja</w:t>
      </w:r>
    </w:p>
    <w:p w14:paraId="7BF2324B" w14:textId="4724265E" w:rsidR="00485C34" w:rsidRDefault="00485C34" w:rsidP="00485C34">
      <w:pPr>
        <w:pStyle w:val="Odlomakpopisa"/>
        <w:tabs>
          <w:tab w:val="left" w:pos="1950"/>
        </w:tabs>
        <w:spacing w:after="0"/>
        <w:jc w:val="both"/>
      </w:pPr>
      <w:r>
        <w:t xml:space="preserve">Sastoji se od cijevi 57x3,2 </w:t>
      </w:r>
      <w:r w:rsidR="008A3811">
        <w:t>St. 35 8/1, aizveden je u obliku cijevnih vijuga postavljenih pod nagibom od 9 stepeni u šahovskom rasporedu sa 4 cijevi u jednoj ravnini. Na svojim krajevima cijevi su upresane u gornji i donji bubanj kotla. Konstrukcijom se osigurava nesmetana prirodna cirkulacija vode i dobre izmjena tolote sa dimnim plinovima u isparnom sistemu.</w:t>
      </w:r>
    </w:p>
    <w:p w14:paraId="186348BE" w14:textId="66E1DB09" w:rsidR="00E965B3" w:rsidRDefault="00E965B3" w:rsidP="00E965B3">
      <w:pPr>
        <w:pStyle w:val="Odlomakpopisa"/>
        <w:numPr>
          <w:ilvl w:val="0"/>
          <w:numId w:val="2"/>
        </w:numPr>
        <w:tabs>
          <w:tab w:val="left" w:pos="1950"/>
        </w:tabs>
        <w:spacing w:after="0"/>
        <w:jc w:val="both"/>
        <w:rPr>
          <w:b/>
          <w:bCs/>
        </w:rPr>
      </w:pPr>
      <w:r w:rsidRPr="00E965B3">
        <w:rPr>
          <w:b/>
          <w:bCs/>
        </w:rPr>
        <w:t>Zagrijač vode</w:t>
      </w:r>
    </w:p>
    <w:p w14:paraId="7AB3F7B9" w14:textId="4427FF92" w:rsidR="00E965B3" w:rsidRDefault="00E965B3" w:rsidP="00E965B3">
      <w:pPr>
        <w:pStyle w:val="Odlomakpopisa"/>
        <w:tabs>
          <w:tab w:val="left" w:pos="1950"/>
        </w:tabs>
        <w:spacing w:after="0"/>
        <w:jc w:val="both"/>
      </w:pPr>
      <w:r>
        <w:t>Izgrađen je iz tri paketa zavješenih na nosive cijevi 31,8 puta 4 iz materijala St. 35. 8/1 koji su povezani sa komorama. Cijevi paketa su 31,8 puta 3,2  - materijal st. 35, 8/1. Sa vanjske strane se nalazi oplata zagrijača vode iz čelićnog lima debljine 4 mm, a svu težinu preuzima čelična konstrukcija generatora pare.</w:t>
      </w:r>
    </w:p>
    <w:p w14:paraId="69041E91" w14:textId="3585D1D5" w:rsidR="00E965B3" w:rsidRPr="00E965B3" w:rsidRDefault="00E965B3" w:rsidP="00E965B3">
      <w:pPr>
        <w:pStyle w:val="Odlomakpopisa"/>
        <w:numPr>
          <w:ilvl w:val="0"/>
          <w:numId w:val="2"/>
        </w:numPr>
        <w:tabs>
          <w:tab w:val="left" w:pos="1950"/>
        </w:tabs>
        <w:spacing w:after="0"/>
        <w:jc w:val="both"/>
        <w:rPr>
          <w:b/>
          <w:bCs/>
        </w:rPr>
      </w:pPr>
      <w:r w:rsidRPr="00E965B3">
        <w:rPr>
          <w:b/>
          <w:bCs/>
        </w:rPr>
        <w:t>Čelična konstrukcija generatora pare</w:t>
      </w:r>
    </w:p>
    <w:p w14:paraId="604B1C22" w14:textId="0E5D6533" w:rsidR="00E965B3" w:rsidRDefault="00E965B3" w:rsidP="00E965B3">
      <w:pPr>
        <w:pStyle w:val="Odlomakpopisa"/>
        <w:tabs>
          <w:tab w:val="left" w:pos="1950"/>
        </w:tabs>
        <w:spacing w:after="0"/>
        <w:jc w:val="both"/>
      </w:pPr>
      <w:r>
        <w:t>Izvedena je prema tehničkim propisima za nosive čelične konstrukcije i tehničkim propisima za gradnju u seizmičkim područjima. Osnovni materijal za konstrukciju su čelični profil kvaliteta ST. 37.2, spojevi su vijčani ili zavareni. Konstrukcija služi za nošenje isparnog sistema i cijevnih snopova zagrijača vode, te galerija i stepenica.</w:t>
      </w:r>
    </w:p>
    <w:p w14:paraId="0EC1E1E1" w14:textId="2DC05808" w:rsidR="00E965B3" w:rsidRPr="00E965B3" w:rsidRDefault="00E965B3" w:rsidP="00E965B3">
      <w:pPr>
        <w:pStyle w:val="Odlomakpopisa"/>
        <w:numPr>
          <w:ilvl w:val="0"/>
          <w:numId w:val="2"/>
        </w:numPr>
        <w:tabs>
          <w:tab w:val="left" w:pos="1950"/>
        </w:tabs>
        <w:spacing w:after="0"/>
        <w:jc w:val="both"/>
        <w:rPr>
          <w:b/>
          <w:bCs/>
        </w:rPr>
      </w:pPr>
      <w:r w:rsidRPr="00E965B3">
        <w:rPr>
          <w:b/>
          <w:bCs/>
        </w:rPr>
        <w:t>Galerije i stepenice</w:t>
      </w:r>
    </w:p>
    <w:p w14:paraId="1582792E" w14:textId="0E85A88B" w:rsidR="00E965B3" w:rsidRDefault="004E2802" w:rsidP="00E965B3">
      <w:pPr>
        <w:pStyle w:val="Odlomakpopisa"/>
        <w:tabs>
          <w:tab w:val="left" w:pos="1950"/>
        </w:tabs>
        <w:spacing w:after="0"/>
        <w:jc w:val="both"/>
      </w:pPr>
      <w:r>
        <w:t>Stajalište ložača, odnosno glavna galerija kotla je na koti +4,0, a izrađena je iz betona i pripada zgradi kotlovnice. Ostale galerije i stepenice raspoređene su tako da omogućavaju posluživanje svih bitnih dijelova kotla. Nosiva konstrukcija galerija i stepenica izrađena je iz profilnog čelika, a pod iz rešetkastih nosača.</w:t>
      </w:r>
    </w:p>
    <w:p w14:paraId="5B0464E8" w14:textId="3B37DF1F" w:rsidR="004E2802" w:rsidRPr="004E2802" w:rsidRDefault="004E2802" w:rsidP="004E2802">
      <w:pPr>
        <w:pStyle w:val="Odlomakpopisa"/>
        <w:numPr>
          <w:ilvl w:val="0"/>
          <w:numId w:val="2"/>
        </w:numPr>
        <w:tabs>
          <w:tab w:val="left" w:pos="1950"/>
        </w:tabs>
        <w:spacing w:after="0"/>
        <w:jc w:val="both"/>
        <w:rPr>
          <w:b/>
          <w:bCs/>
        </w:rPr>
      </w:pPr>
      <w:r w:rsidRPr="004E2802">
        <w:rPr>
          <w:b/>
          <w:bCs/>
        </w:rPr>
        <w:t>Oplata generatora pare</w:t>
      </w:r>
    </w:p>
    <w:p w14:paraId="27206421" w14:textId="68900A95" w:rsidR="004E2802" w:rsidRDefault="004E2802" w:rsidP="004E2802">
      <w:pPr>
        <w:pStyle w:val="Odlomakpopisa"/>
        <w:tabs>
          <w:tab w:val="left" w:pos="1950"/>
        </w:tabs>
        <w:spacing w:after="0"/>
        <w:jc w:val="both"/>
      </w:pPr>
      <w:r>
        <w:t>Dijelovi generatora pare, koji zatvaraju prostor ložišta sa rošt</w:t>
      </w:r>
      <w:r w:rsidR="00A15599">
        <w:t>i</w:t>
      </w:r>
      <w:r>
        <w:t>ljem, a</w:t>
      </w:r>
      <w:r w:rsidR="006403F2">
        <w:t>li</w:t>
      </w:r>
      <w:r>
        <w:t xml:space="preserve"> i dijelovi koji zatvaraju donji prostor kanala druge i treće promaje sa lijevcima za šljaku i pep</w:t>
      </w:r>
      <w:r w:rsidR="006403F2">
        <w:t>e</w:t>
      </w:r>
      <w:r>
        <w:t>o, oblikovani su čeličnim limovima kvalitete St. 37.2 i standardnim profilima iste kvalitete.</w:t>
      </w:r>
    </w:p>
    <w:p w14:paraId="71E8DEE1" w14:textId="1AC4309B" w:rsidR="004E2802" w:rsidRPr="004E2802" w:rsidRDefault="004E2802" w:rsidP="004E2802">
      <w:pPr>
        <w:pStyle w:val="Odlomakpopisa"/>
        <w:numPr>
          <w:ilvl w:val="0"/>
          <w:numId w:val="2"/>
        </w:numPr>
        <w:tabs>
          <w:tab w:val="left" w:pos="1950"/>
        </w:tabs>
        <w:spacing w:after="0"/>
        <w:jc w:val="both"/>
        <w:rPr>
          <w:b/>
          <w:bCs/>
        </w:rPr>
      </w:pPr>
      <w:r w:rsidRPr="004E2802">
        <w:rPr>
          <w:b/>
          <w:bCs/>
        </w:rPr>
        <w:t>Fina armatura kotla</w:t>
      </w:r>
    </w:p>
    <w:p w14:paraId="33F8D88E" w14:textId="729F75E0" w:rsidR="001A4659" w:rsidRDefault="004E2802" w:rsidP="00054E51">
      <w:pPr>
        <w:pStyle w:val="Odlomakpopisa"/>
        <w:tabs>
          <w:tab w:val="left" w:pos="1950"/>
        </w:tabs>
        <w:spacing w:after="0"/>
        <w:jc w:val="both"/>
      </w:pPr>
      <w:r>
        <w:t>Za sigurnu kontrolu i posluživanje kotlova ugrađena je fina armatura za svaki kotao.</w:t>
      </w:r>
    </w:p>
    <w:p w14:paraId="76722791" w14:textId="785CF9D5" w:rsidR="004E2802" w:rsidRPr="004E2802" w:rsidRDefault="004E2802" w:rsidP="004E2802">
      <w:pPr>
        <w:pStyle w:val="Odlomakpopisa"/>
        <w:numPr>
          <w:ilvl w:val="0"/>
          <w:numId w:val="2"/>
        </w:numPr>
        <w:tabs>
          <w:tab w:val="left" w:pos="1950"/>
        </w:tabs>
        <w:spacing w:after="0"/>
        <w:jc w:val="both"/>
        <w:rPr>
          <w:b/>
          <w:bCs/>
        </w:rPr>
      </w:pPr>
      <w:r w:rsidRPr="004E2802">
        <w:rPr>
          <w:b/>
          <w:bCs/>
        </w:rPr>
        <w:t>Gruba armatura kotla</w:t>
      </w:r>
    </w:p>
    <w:p w14:paraId="12D75289" w14:textId="06ACD689" w:rsidR="004E2802" w:rsidRDefault="004E2802" w:rsidP="004E2802">
      <w:pPr>
        <w:pStyle w:val="Odlomakpopisa"/>
        <w:tabs>
          <w:tab w:val="left" w:pos="1950"/>
        </w:tabs>
        <w:spacing w:after="0"/>
        <w:jc w:val="both"/>
      </w:pPr>
      <w:r>
        <w:t>Za pristup u unutrašnjost kotla radi kontrole i eventualnog remonta, kao i za optičku kontrolu ložišta ugrađena je gruba armatura kao što su otvori za ulaz i nadgledavanje, te klapne dimnih plinova.</w:t>
      </w:r>
    </w:p>
    <w:p w14:paraId="1B8EC9F9" w14:textId="3F3F768A" w:rsidR="004E2802" w:rsidRPr="00DD6B23" w:rsidRDefault="004E2802" w:rsidP="004E2802">
      <w:pPr>
        <w:pStyle w:val="Odlomakpopisa"/>
        <w:numPr>
          <w:ilvl w:val="0"/>
          <w:numId w:val="2"/>
        </w:numPr>
        <w:tabs>
          <w:tab w:val="left" w:pos="1950"/>
        </w:tabs>
        <w:spacing w:after="0"/>
        <w:jc w:val="both"/>
        <w:rPr>
          <w:b/>
          <w:bCs/>
        </w:rPr>
      </w:pPr>
      <w:r w:rsidRPr="00DD6B23">
        <w:rPr>
          <w:b/>
          <w:bCs/>
        </w:rPr>
        <w:t>Ozid i izolacija</w:t>
      </w:r>
    </w:p>
    <w:p w14:paraId="7A8A5396" w14:textId="722E464C" w:rsidR="004E2802" w:rsidRDefault="004E2802" w:rsidP="004E2802">
      <w:pPr>
        <w:pStyle w:val="Odlomakpopisa"/>
        <w:tabs>
          <w:tab w:val="left" w:pos="1950"/>
        </w:tabs>
        <w:spacing w:after="0"/>
        <w:jc w:val="both"/>
      </w:pPr>
      <w:r>
        <w:t>Gornji bubanj kotla na dimnoj strani, membrane i cijevi neposredno uz roštilj, te ulazni otvor obloženi su vatrootpornom masom. Izolacija kotla je izvedena sa jastucima mineralne vune, ojačana pletivom i obložena al. Limom.</w:t>
      </w:r>
    </w:p>
    <w:p w14:paraId="2510B792" w14:textId="77777777" w:rsidR="00835460" w:rsidRDefault="00835460" w:rsidP="004E2802">
      <w:pPr>
        <w:pStyle w:val="Odlomakpopisa"/>
        <w:tabs>
          <w:tab w:val="left" w:pos="1950"/>
        </w:tabs>
        <w:spacing w:after="0"/>
        <w:jc w:val="both"/>
      </w:pPr>
    </w:p>
    <w:p w14:paraId="1BB16AD4" w14:textId="292B002D" w:rsidR="004E2802" w:rsidRPr="00DD6B23" w:rsidRDefault="004E2802" w:rsidP="004E2802">
      <w:pPr>
        <w:pStyle w:val="Odlomakpopisa"/>
        <w:numPr>
          <w:ilvl w:val="0"/>
          <w:numId w:val="2"/>
        </w:numPr>
        <w:tabs>
          <w:tab w:val="left" w:pos="1950"/>
        </w:tabs>
        <w:spacing w:after="0"/>
        <w:jc w:val="both"/>
        <w:rPr>
          <w:b/>
          <w:bCs/>
        </w:rPr>
      </w:pPr>
      <w:r w:rsidRPr="00DD6B23">
        <w:rPr>
          <w:b/>
          <w:bCs/>
        </w:rPr>
        <w:lastRenderedPageBreak/>
        <w:t>Duvači čadi</w:t>
      </w:r>
    </w:p>
    <w:p w14:paraId="6A60084C" w14:textId="36CD9913" w:rsidR="004E2802" w:rsidRDefault="004E2802" w:rsidP="004E2802">
      <w:pPr>
        <w:pStyle w:val="Odlomakpopisa"/>
        <w:tabs>
          <w:tab w:val="left" w:pos="1950"/>
        </w:tabs>
        <w:spacing w:after="0"/>
        <w:jc w:val="both"/>
      </w:pPr>
      <w:r>
        <w:t>Za čišćenje ogrijevnih površina konektivnog snopa i zagrijača vode, ugrađeno je 8 komada duvača čađi sa svom potrebnom armaturom po jednom kotlu. Rade sa komprimiranim zrakom.</w:t>
      </w:r>
    </w:p>
    <w:p w14:paraId="4B5A951F" w14:textId="77777777" w:rsidR="007C11EA" w:rsidRDefault="007C11EA" w:rsidP="00054E51">
      <w:pPr>
        <w:tabs>
          <w:tab w:val="left" w:pos="1950"/>
        </w:tabs>
        <w:spacing w:after="0"/>
        <w:jc w:val="both"/>
      </w:pPr>
    </w:p>
    <w:p w14:paraId="3C60590F" w14:textId="2F0A6C1F" w:rsidR="004E2802" w:rsidRPr="00FC2ABF" w:rsidRDefault="004E2802" w:rsidP="00FC2ABF">
      <w:pPr>
        <w:pStyle w:val="Odlomakpopisa"/>
        <w:numPr>
          <w:ilvl w:val="1"/>
          <w:numId w:val="11"/>
        </w:numPr>
        <w:tabs>
          <w:tab w:val="left" w:pos="1950"/>
        </w:tabs>
        <w:spacing w:after="0"/>
        <w:jc w:val="both"/>
        <w:rPr>
          <w:b/>
          <w:bCs/>
        </w:rPr>
      </w:pPr>
      <w:r w:rsidRPr="00FC2ABF">
        <w:rPr>
          <w:b/>
          <w:bCs/>
        </w:rPr>
        <w:t>Tehnički opis napajanja vodom, dovo</w:t>
      </w:r>
      <w:r w:rsidR="007C11EA" w:rsidRPr="00FC2ABF">
        <w:rPr>
          <w:b/>
          <w:bCs/>
        </w:rPr>
        <w:t>d</w:t>
      </w:r>
      <w:r w:rsidRPr="00FC2ABF">
        <w:rPr>
          <w:b/>
          <w:bCs/>
        </w:rPr>
        <w:t>a zraka i odvoda dimnih plinova</w:t>
      </w:r>
    </w:p>
    <w:p w14:paraId="2E125400" w14:textId="2AD2265D" w:rsidR="004E2802" w:rsidRDefault="004E2802" w:rsidP="004E2802">
      <w:pPr>
        <w:tabs>
          <w:tab w:val="left" w:pos="1950"/>
        </w:tabs>
        <w:spacing w:after="0"/>
        <w:ind w:left="360"/>
        <w:jc w:val="both"/>
        <w:rPr>
          <w:rFonts w:cstheme="minorHAnsi"/>
        </w:rPr>
      </w:pPr>
      <w:r>
        <w:t xml:space="preserve">Napojna voda se odvodi od pumpi do galerije na koti </w:t>
      </w:r>
      <w:r w:rsidR="007C11EA">
        <w:t xml:space="preserve">cca </w:t>
      </w:r>
      <w:r>
        <w:t xml:space="preserve">+ 4,0 cjevovodom 108 gdje se priključuje na regulator napajanja. Istim cjevovodom odvodi se napojna voda od regulatora napajanja do troputnog ventila gdje se količina napojne vode u slučaju smanjenog učinka generatora pare dijeli u dva strujna toka. Dio ili ukupna količina </w:t>
      </w:r>
      <w:r w:rsidR="00840E41">
        <w:t>napojne vode zagrijava se u gornjem bubnju i nakon miješanja dviju količine ulazi na koti + u dvije nosive razdjelne komore zagrijača vode (ekonomajzera), sa temperaturom iznad temperature napajanja. Posebnim cjevovodm povezana je donja sabirna komora ekonomajzera sa gornjom razdjelnom komorom, tako da je postignuta protu strujna izmjena toplote kroz prva dva gornja paketa. Kroz treći donji paket struji voda istosmjerna sa dimnim plinovima. Ovakav tok vode je povoljniji u slučaju kad temperatura vode</w:t>
      </w:r>
      <w:r w:rsidR="00573A64">
        <w:t xml:space="preserve"> dosegne temperaturu zasićenja, jer tada nema opasnosti od zastoja strujanja prilikom isparavanja. Nakon prolaza kroz donji paket ekonomajzera, voda ulazi u gornji bubanj gdje se raznoliko razvodi po cijeloj dužini. Iz gornjeg bubnja voda se odvodi u donje komore iz parnog sistema ložišta preko više cijevi, koje su tako dimenziosane da osiguravaju besprekijerno napajanje. Napajanje kotla vrši se sa dvije napojne pumpe od čega jedna sa elektro, a jedna sa parnim pogonom (parna klipna pumpa). Ventilator za primarni zrak smješten je van kotlovnice i ima svoj dogrijač zraka u kojima se potrebna količina zraka dogrijava od -15/+130</w:t>
      </w:r>
      <w:r w:rsidR="00573A64">
        <w:rPr>
          <w:rFonts w:cstheme="minorHAnsi"/>
        </w:rPr>
        <w:t>° C pomoću zasićene pare 11 bar. Za odvod dimnih plinova ugrađeni su po jedan odsisni ventilator za svaki kotao sa staterskom regulacijom. Dimenzionisani su tako da savladaju sve otpore na dimnoj strani od loži</w:t>
      </w:r>
      <w:r w:rsidR="001F6BE1">
        <w:rPr>
          <w:rFonts w:cstheme="minorHAnsi"/>
        </w:rPr>
        <w:t>šta do ulaza u dimnjak. Ventilatori za odsis dimnih plinova smješteni su izvan kotlovnice. Plinovi se transportuju odsisnim ventilatorom, kojim se također održava podpritisak u ložištu.</w:t>
      </w:r>
      <w:r w:rsidR="00D97E75">
        <w:rPr>
          <w:rFonts w:cstheme="minorHAnsi"/>
        </w:rPr>
        <w:t xml:space="preserve"> Za mehaničko odvajanje čestica iz dimnih plinova, a do stepena odprašivanja od 200 mg/mn3 ugrađeni su multiciklonski odv</w:t>
      </w:r>
      <w:r w:rsidR="004F1632">
        <w:rPr>
          <w:rFonts w:cstheme="minorHAnsi"/>
        </w:rPr>
        <w:t>a</w:t>
      </w:r>
      <w:r w:rsidR="00D97E75">
        <w:rPr>
          <w:rFonts w:cstheme="minorHAnsi"/>
        </w:rPr>
        <w:t>jači čestica. Multiciklon je visokokoučinski izdvajač prašine koji radi na principu centrifuge, a sastoji se od većeg broja paralelno povezanih cijevi sa elementima u obliku lopatica, koji prašnjavi plin dovodi u rotaciju, tako da se prašina pod djelovanjem centrifugalne sile izdvaja iz plina. Na izlaznom bunkeru ugrađen je dozator DO -300 proizvođača SOUR „MONTING“ RO „VEMOS“ Zagreb, za odvajanje čestica bez obaranja podpritiska. Svi izlazi prašine su svojim donjim dijelom obuhvaćeni bunkerom za prašinu. Ukupni volumen bunkera iznosi 6 m3, a volumen koji se može ispuniti je 3 m3, pa će i u tom slučaju biti ispunjen garantirani stupanj oprašivanja. U slučaju da su bunkeri ispunjeni prašinom i preko 3 m3 neće se binomno pogoršati stepen djelovanja. Nakon odsisnog ventilatora dimni plinovi, pomoću kanala, ulaze u zidani postojeći dimnjak sa tri cijevi. Kanali su izrađeni od čelićnog lima i gelirani, te snabdjevani potrebnim kompozitorima, osloncima i priručničkim slojevima. Sve cijevi dimnjaka su promjera 2000 mm, a visina dimnjaka iznosi 65 m.</w:t>
      </w:r>
    </w:p>
    <w:p w14:paraId="2A07D781" w14:textId="77777777" w:rsidR="00594A00" w:rsidRDefault="00594A00" w:rsidP="004E2802">
      <w:pPr>
        <w:tabs>
          <w:tab w:val="left" w:pos="1950"/>
        </w:tabs>
        <w:spacing w:after="0"/>
        <w:ind w:left="360"/>
        <w:jc w:val="both"/>
        <w:rPr>
          <w:rFonts w:cstheme="minorHAnsi"/>
        </w:rPr>
      </w:pPr>
    </w:p>
    <w:p w14:paraId="6D6768E4" w14:textId="75BE515C" w:rsidR="00594A00" w:rsidRPr="00FC2ABF" w:rsidRDefault="00594A00" w:rsidP="00FC2ABF">
      <w:pPr>
        <w:pStyle w:val="Odlomakpopisa"/>
        <w:numPr>
          <w:ilvl w:val="1"/>
          <w:numId w:val="11"/>
        </w:numPr>
        <w:tabs>
          <w:tab w:val="left" w:pos="1950"/>
        </w:tabs>
        <w:spacing w:after="0"/>
        <w:jc w:val="both"/>
        <w:rPr>
          <w:rFonts w:cstheme="minorHAnsi"/>
          <w:b/>
          <w:bCs/>
        </w:rPr>
      </w:pPr>
      <w:r w:rsidRPr="00FC2ABF">
        <w:rPr>
          <w:rFonts w:cstheme="minorHAnsi"/>
          <w:b/>
          <w:bCs/>
        </w:rPr>
        <w:t>Uređaji za loženje, dovod uglja i odvod pepela</w:t>
      </w:r>
    </w:p>
    <w:p w14:paraId="4502EF1F" w14:textId="20E7A530" w:rsidR="000F0AC4" w:rsidRDefault="000F0AC4" w:rsidP="000F0AC4">
      <w:pPr>
        <w:tabs>
          <w:tab w:val="left" w:pos="1950"/>
        </w:tabs>
        <w:spacing w:after="0"/>
        <w:ind w:left="360"/>
        <w:jc w:val="both"/>
        <w:rPr>
          <w:rFonts w:cstheme="minorHAnsi"/>
        </w:rPr>
      </w:pPr>
      <w:r>
        <w:rPr>
          <w:rFonts w:cstheme="minorHAnsi"/>
        </w:rPr>
        <w:t xml:space="preserve">Loženje kotla se vrši 100% na ugalj na ravnom pužećem roštilju. Ugalj iz novog čeličnog bunkera transportira se gravitaciono preko zasuna i kanala za ugalj, te preko pokretnih kolica razdjeljuje po rešetci. Ugljen se na deponiju uglja dovozi kamionima, </w:t>
      </w:r>
      <w:r w:rsidR="007E02E5">
        <w:rPr>
          <w:rFonts w:cstheme="minorHAnsi"/>
        </w:rPr>
        <w:t xml:space="preserve"> od deponije do bunkera vrši se gumeno-trakastim transportima. </w:t>
      </w:r>
      <w:r w:rsidR="007E02E5" w:rsidRPr="00DD6B23">
        <w:rPr>
          <w:rFonts w:cstheme="minorHAnsi"/>
        </w:rPr>
        <w:t xml:space="preserve">Puna šarža svih bunkera iznosi </w:t>
      </w:r>
      <w:r w:rsidR="00DD6B23" w:rsidRPr="00DD6B23">
        <w:rPr>
          <w:rFonts w:cstheme="minorHAnsi"/>
        </w:rPr>
        <w:t>140</w:t>
      </w:r>
      <w:r w:rsidR="007E02E5" w:rsidRPr="00DD6B23">
        <w:rPr>
          <w:rFonts w:cstheme="minorHAnsi"/>
        </w:rPr>
        <w:t xml:space="preserve"> t (</w:t>
      </w:r>
      <w:r w:rsidR="00DD6B23" w:rsidRPr="00DD6B23">
        <w:rPr>
          <w:rFonts w:cstheme="minorHAnsi"/>
        </w:rPr>
        <w:t xml:space="preserve">dva </w:t>
      </w:r>
      <w:r w:rsidR="007E02E5" w:rsidRPr="00DD6B23">
        <w:rPr>
          <w:rFonts w:cstheme="minorHAnsi"/>
        </w:rPr>
        <w:t>komada). Transportni uređaj ima kapacitet od oko 50 t/h uglja.</w:t>
      </w:r>
      <w:r w:rsidR="007E02E5">
        <w:rPr>
          <w:rFonts w:cstheme="minorHAnsi"/>
        </w:rPr>
        <w:t xml:space="preserve"> Transportni uređaj za transport uglja sastoji se iz dva dijela i to:</w:t>
      </w:r>
    </w:p>
    <w:p w14:paraId="07665311" w14:textId="43D41A5A" w:rsidR="007E02E5" w:rsidRDefault="007E02E5" w:rsidP="007E02E5">
      <w:pPr>
        <w:tabs>
          <w:tab w:val="left" w:pos="1950"/>
        </w:tabs>
        <w:spacing w:after="0"/>
        <w:ind w:left="360"/>
        <w:jc w:val="both"/>
        <w:rPr>
          <w:rFonts w:cstheme="minorHAnsi"/>
        </w:rPr>
      </w:pPr>
      <w:r>
        <w:rPr>
          <w:rFonts w:cstheme="minorHAnsi"/>
        </w:rPr>
        <w:t xml:space="preserve">                            </w:t>
      </w:r>
      <w:r w:rsidRPr="007E02E5">
        <w:rPr>
          <w:rFonts w:cstheme="minorHAnsi"/>
        </w:rPr>
        <w:t xml:space="preserve"> </w:t>
      </w:r>
      <w:r>
        <w:rPr>
          <w:rFonts w:cstheme="minorHAnsi"/>
        </w:rPr>
        <w:t>-  t</w:t>
      </w:r>
      <w:r w:rsidRPr="007E02E5">
        <w:rPr>
          <w:rFonts w:cstheme="minorHAnsi"/>
        </w:rPr>
        <w:t>ransport uglja na nivo bunkera</w:t>
      </w:r>
    </w:p>
    <w:p w14:paraId="18CF9CDC" w14:textId="7EE78BAF" w:rsidR="007E02E5" w:rsidRDefault="007E02E5" w:rsidP="007E02E5">
      <w:pPr>
        <w:tabs>
          <w:tab w:val="left" w:pos="1950"/>
        </w:tabs>
        <w:spacing w:after="0"/>
        <w:ind w:left="360"/>
        <w:jc w:val="both"/>
        <w:rPr>
          <w:rFonts w:cstheme="minorHAnsi"/>
        </w:rPr>
      </w:pPr>
      <w:r>
        <w:rPr>
          <w:rFonts w:cstheme="minorHAnsi"/>
        </w:rPr>
        <w:t xml:space="preserve">                             - transport i razdjeljivanje po bunkerima</w:t>
      </w:r>
    </w:p>
    <w:p w14:paraId="11FE6211" w14:textId="314C1E90" w:rsidR="007E02E5" w:rsidRDefault="007E02E5" w:rsidP="007E02E5">
      <w:pPr>
        <w:tabs>
          <w:tab w:val="left" w:pos="1950"/>
        </w:tabs>
        <w:spacing w:after="0"/>
        <w:ind w:left="360"/>
        <w:jc w:val="both"/>
        <w:rPr>
          <w:rFonts w:cstheme="minorHAnsi"/>
        </w:rPr>
      </w:pPr>
      <w:r>
        <w:rPr>
          <w:rFonts w:cstheme="minorHAnsi"/>
        </w:rPr>
        <w:t xml:space="preserve">Nasipanje uglja u usipni koš kosog transportera na deponiji vrši se sa jednim zglobnim utovarivačem. Zasun za ugalj (2 komada) se nalazi neposredno na izlaznom okviru lijevka bunkera. </w:t>
      </w:r>
      <w:r>
        <w:rPr>
          <w:rFonts w:cstheme="minorHAnsi"/>
        </w:rPr>
        <w:lastRenderedPageBreak/>
        <w:t>Sastoji se od lančanika, lanca i zaporne ploče sa potrebnom konstrukcijom. Kanal za privod uglja služi za gravitacioni privod (dovod) uglja od bunkera do pokretnih kolica koji raznose ugalj po cijeloj širini roštilja. Izrađen je iz limova i standardnih profila istog materijala. Uređaj za raspodjelu uglja po širini roštilja sadrži pokretna kolica, pogonski motor i galeriju za posluživanje. Odšljakivaći prihvaćaju svu utpadnu šljaku i pepeo sa roštilja, te mehaničkim putem, hlađenjem kroz vodu, prebacuju šljaku na pokretnu traku. Odšljakivači su ležećeg tipa tzv. „kada“ – odšljakivač. Kapacitet jednog odšljakivača je 2m3/h, broj obrtaja je 7</w:t>
      </w:r>
      <w:r w:rsidR="00AF2D92">
        <w:rPr>
          <w:rFonts w:cstheme="minorHAnsi"/>
        </w:rPr>
        <w:t xml:space="preserve"> o/min</w:t>
      </w:r>
      <w:r>
        <w:rPr>
          <w:rFonts w:cstheme="minorHAnsi"/>
        </w:rPr>
        <w:t>, a snaga električnog motora odšljakivača je 4 kW. Nakon što šljaka iz ložišta</w:t>
      </w:r>
      <w:r w:rsidR="00F1662A">
        <w:rPr>
          <w:rFonts w:cstheme="minorHAnsi"/>
        </w:rPr>
        <w:t xml:space="preserve"> padne u vodu mokrog odšljakivača, gdje se gasi, odvodi se izvan zgrade kotlovnice mehaniziranim putem na deponiju šljake. Prikupljene količine šljake se odvoze za izradu šljako blokova firmi „Zlatić“ d.o.o. Travnik sa kojom postoji ugovor o preuzianju šljake sa deponije u krugu toplane.</w:t>
      </w:r>
    </w:p>
    <w:p w14:paraId="2FA634F2" w14:textId="77777777" w:rsidR="00AF33A4" w:rsidRDefault="00AF33A4" w:rsidP="00DD6B23">
      <w:pPr>
        <w:tabs>
          <w:tab w:val="left" w:pos="1950"/>
        </w:tabs>
        <w:spacing w:after="0"/>
        <w:jc w:val="both"/>
        <w:rPr>
          <w:rFonts w:cstheme="minorHAnsi"/>
        </w:rPr>
      </w:pPr>
    </w:p>
    <w:p w14:paraId="4D90752C" w14:textId="1DCD2DF3" w:rsidR="00AF33A4" w:rsidRPr="00FC2ABF" w:rsidRDefault="00AF33A4" w:rsidP="00FC2ABF">
      <w:pPr>
        <w:pStyle w:val="Odlomakpopisa"/>
        <w:numPr>
          <w:ilvl w:val="1"/>
          <w:numId w:val="11"/>
        </w:numPr>
        <w:tabs>
          <w:tab w:val="left" w:pos="1950"/>
        </w:tabs>
        <w:spacing w:after="0"/>
        <w:jc w:val="both"/>
        <w:rPr>
          <w:rFonts w:cstheme="minorHAnsi"/>
          <w:b/>
          <w:bCs/>
        </w:rPr>
      </w:pPr>
      <w:r w:rsidRPr="00FC2ABF">
        <w:rPr>
          <w:rFonts w:cstheme="minorHAnsi"/>
          <w:b/>
          <w:bCs/>
        </w:rPr>
        <w:t>Termička priprema vode</w:t>
      </w:r>
    </w:p>
    <w:p w14:paraId="3507DB3C" w14:textId="700D3783" w:rsidR="00AF33A4" w:rsidRDefault="00AF33A4" w:rsidP="00AF33A4">
      <w:pPr>
        <w:tabs>
          <w:tab w:val="left" w:pos="1950"/>
        </w:tabs>
        <w:spacing w:after="0"/>
        <w:ind w:left="360"/>
        <w:jc w:val="both"/>
        <w:rPr>
          <w:rFonts w:cstheme="minorHAnsi"/>
        </w:rPr>
      </w:pPr>
      <w:r>
        <w:rPr>
          <w:rFonts w:cstheme="minorHAnsi"/>
        </w:rPr>
        <w:t xml:space="preserve">Uređaj za termičku pripremu napojne vode sastoji se iz termičkog otplinjivača, napojnog rezervoara i dozirne stanice za kondicioniranje napojne vode. Kapacitet jednog napojnog spremnika za termičku pripremu napojne vode je q= 60 t/h, kod </w:t>
      </w:r>
      <w:r w:rsidR="00AF2D92">
        <w:rPr>
          <w:rFonts w:cstheme="minorHAnsi"/>
        </w:rPr>
        <w:t>95-98</w:t>
      </w:r>
      <w:r>
        <w:rPr>
          <w:rFonts w:cstheme="minorHAnsi"/>
        </w:rPr>
        <w:t xml:space="preserve"> °C. U termičkom otplinjivaču zagrijava se napojna voda na temperaturi </w:t>
      </w:r>
      <w:r w:rsidR="00AF2D92">
        <w:rPr>
          <w:rFonts w:cstheme="minorHAnsi"/>
        </w:rPr>
        <w:t>95-98</w:t>
      </w:r>
      <w:r>
        <w:rPr>
          <w:rFonts w:cstheme="minorHAnsi"/>
        </w:rPr>
        <w:t xml:space="preserve"> °C pomoću zasićene pare p= 11 bar. Regulacija zagrijavanja napojne vode u termičkim otplinjivaču izvedena je preko regulacije zraka. Kroz termički otplinjivač, napojna voda prolazi u smjeru odozgo prema dole preko postavljenih kaskada. Iz termičkog otplinjivača, napojna voda se slijeva u napojni rezervoar, gdje se uskladištuje potrebna rezerva napojne vode.</w:t>
      </w:r>
    </w:p>
    <w:p w14:paraId="6E1A2B6A" w14:textId="77777777" w:rsidR="00AF33A4" w:rsidRDefault="00AF33A4" w:rsidP="00AF33A4">
      <w:pPr>
        <w:tabs>
          <w:tab w:val="left" w:pos="1950"/>
        </w:tabs>
        <w:spacing w:after="0"/>
        <w:ind w:left="360"/>
        <w:jc w:val="both"/>
        <w:rPr>
          <w:rFonts w:cstheme="minorHAnsi"/>
        </w:rPr>
      </w:pPr>
    </w:p>
    <w:p w14:paraId="2DC81697" w14:textId="68977A1F" w:rsidR="00AF33A4" w:rsidRPr="006172D3" w:rsidRDefault="00AF33A4" w:rsidP="00FC2ABF">
      <w:pPr>
        <w:pStyle w:val="Odlomakpopisa"/>
        <w:numPr>
          <w:ilvl w:val="0"/>
          <w:numId w:val="11"/>
        </w:numPr>
        <w:tabs>
          <w:tab w:val="left" w:pos="1950"/>
        </w:tabs>
        <w:spacing w:after="0"/>
        <w:jc w:val="both"/>
        <w:rPr>
          <w:rFonts w:cstheme="minorHAnsi"/>
          <w:b/>
          <w:bCs/>
        </w:rPr>
      </w:pPr>
      <w:r w:rsidRPr="006172D3">
        <w:rPr>
          <w:rFonts w:cstheme="minorHAnsi"/>
          <w:b/>
          <w:bCs/>
        </w:rPr>
        <w:t>Osnovne sirovine i pomoćni materijali</w:t>
      </w:r>
    </w:p>
    <w:p w14:paraId="085429ED" w14:textId="6394130A" w:rsidR="00AF33A4" w:rsidRDefault="00AF33A4" w:rsidP="00756CD2">
      <w:pPr>
        <w:tabs>
          <w:tab w:val="left" w:pos="1950"/>
        </w:tabs>
        <w:spacing w:after="0"/>
        <w:ind w:left="360"/>
        <w:jc w:val="both"/>
        <w:rPr>
          <w:rFonts w:cstheme="minorHAnsi"/>
        </w:rPr>
      </w:pPr>
      <w:r>
        <w:rPr>
          <w:rFonts w:cstheme="minorHAnsi"/>
        </w:rPr>
        <w:t xml:space="preserve">Osnovne sirovine u proizvodnji toplotne energije su gorivo i voda. Primarno gorivo za proizvodnju toplotne energije je </w:t>
      </w:r>
      <w:r w:rsidR="00AF2D92">
        <w:rPr>
          <w:rFonts w:cstheme="minorHAnsi"/>
        </w:rPr>
        <w:t xml:space="preserve">mrki </w:t>
      </w:r>
      <w:r>
        <w:rPr>
          <w:rFonts w:cstheme="minorHAnsi"/>
        </w:rPr>
        <w:t>ugalj</w:t>
      </w:r>
      <w:r w:rsidR="0028218F">
        <w:rPr>
          <w:rFonts w:cstheme="minorHAnsi"/>
        </w:rPr>
        <w:t xml:space="preserve"> granulacije grah/orah</w:t>
      </w:r>
      <w:r w:rsidR="00756CD2">
        <w:rPr>
          <w:rFonts w:cstheme="minorHAnsi"/>
        </w:rPr>
        <w:t xml:space="preserve"> 12 t/dan</w:t>
      </w:r>
      <w:r w:rsidR="0028218F">
        <w:rPr>
          <w:rFonts w:cstheme="minorHAnsi"/>
        </w:rPr>
        <w:t>. U djelu kruga toplane nalazi se plato za ugalj površine oko 4.800 m2 i ugalj se doprema prema stvarnim potrebama</w:t>
      </w:r>
      <w:r w:rsidR="00756CD2">
        <w:rPr>
          <w:rFonts w:cstheme="minorHAnsi"/>
        </w:rPr>
        <w:t>,</w:t>
      </w:r>
      <w:r>
        <w:rPr>
          <w:rFonts w:cstheme="minorHAnsi"/>
        </w:rPr>
        <w:t xml:space="preserve"> dok mazut služi samo kao alternativno gorivo u slučaju kvara kotlovskih postrojenja.</w:t>
      </w:r>
    </w:p>
    <w:p w14:paraId="004C61B1" w14:textId="37C06FAF" w:rsidR="00AF33A4" w:rsidRDefault="00AF33A4" w:rsidP="00AF33A4">
      <w:pPr>
        <w:tabs>
          <w:tab w:val="left" w:pos="1950"/>
        </w:tabs>
        <w:spacing w:after="0"/>
        <w:ind w:left="360"/>
        <w:jc w:val="both"/>
        <w:rPr>
          <w:rFonts w:cstheme="minorHAnsi"/>
        </w:rPr>
      </w:pPr>
      <w:r>
        <w:rPr>
          <w:rFonts w:cstheme="minorHAnsi"/>
        </w:rPr>
        <w:t xml:space="preserve">Pomoćne sirovine su: </w:t>
      </w:r>
      <w:r w:rsidR="00756CD2">
        <w:rPr>
          <w:rFonts w:cstheme="minorHAnsi"/>
        </w:rPr>
        <w:t xml:space="preserve">0,04 l </w:t>
      </w:r>
      <w:r>
        <w:rPr>
          <w:rFonts w:cstheme="minorHAnsi"/>
        </w:rPr>
        <w:t>Hydro-x</w:t>
      </w:r>
      <w:r w:rsidR="00756CD2">
        <w:rPr>
          <w:rFonts w:cstheme="minorHAnsi"/>
        </w:rPr>
        <w:t xml:space="preserve"> na 1m3 kondenzata</w:t>
      </w:r>
      <w:r>
        <w:rPr>
          <w:rFonts w:cstheme="minorHAnsi"/>
        </w:rPr>
        <w:t xml:space="preserve"> i industrijska so</w:t>
      </w:r>
      <w:r w:rsidR="00054E51">
        <w:rPr>
          <w:rFonts w:cstheme="minorHAnsi"/>
        </w:rPr>
        <w:t xml:space="preserve"> koja se koristi u postupku regeneracije  iznosi 100 kg/ po regeneraciji</w:t>
      </w:r>
      <w:r>
        <w:rPr>
          <w:rFonts w:cstheme="minorHAnsi"/>
        </w:rPr>
        <w:t>.</w:t>
      </w:r>
    </w:p>
    <w:p w14:paraId="11267DAC" w14:textId="77777777" w:rsidR="00AF2D92" w:rsidRDefault="00AF2D92" w:rsidP="00AF33A4">
      <w:pPr>
        <w:tabs>
          <w:tab w:val="left" w:pos="1950"/>
        </w:tabs>
        <w:spacing w:after="0"/>
        <w:ind w:left="360"/>
        <w:jc w:val="both"/>
        <w:rPr>
          <w:rFonts w:cstheme="minorHAnsi"/>
        </w:rPr>
      </w:pPr>
    </w:p>
    <w:p w14:paraId="44D5D36A" w14:textId="204DDCD7" w:rsidR="00AF33A4" w:rsidRPr="006172D3" w:rsidRDefault="00835460" w:rsidP="00FC2ABF">
      <w:pPr>
        <w:pStyle w:val="Odlomakpopisa"/>
        <w:numPr>
          <w:ilvl w:val="1"/>
          <w:numId w:val="11"/>
        </w:numPr>
        <w:tabs>
          <w:tab w:val="left" w:pos="1950"/>
        </w:tabs>
        <w:spacing w:after="0"/>
        <w:jc w:val="both"/>
        <w:rPr>
          <w:rFonts w:cstheme="minorHAnsi"/>
          <w:b/>
          <w:bCs/>
        </w:rPr>
      </w:pPr>
      <w:r>
        <w:rPr>
          <w:rFonts w:cstheme="minorHAnsi"/>
          <w:b/>
          <w:bCs/>
        </w:rPr>
        <w:t xml:space="preserve"> </w:t>
      </w:r>
      <w:r w:rsidR="00AF33A4" w:rsidRPr="006172D3">
        <w:rPr>
          <w:rFonts w:cstheme="minorHAnsi"/>
          <w:b/>
          <w:bCs/>
        </w:rPr>
        <w:t>Izvor vodosnabdjevanja i električne energije</w:t>
      </w:r>
    </w:p>
    <w:p w14:paraId="51F135F0" w14:textId="13115FD1" w:rsidR="00AF33A4" w:rsidRPr="006172D3" w:rsidRDefault="00AF33A4" w:rsidP="00FC2ABF">
      <w:pPr>
        <w:pStyle w:val="Odlomakpopisa"/>
        <w:numPr>
          <w:ilvl w:val="2"/>
          <w:numId w:val="11"/>
        </w:numPr>
        <w:tabs>
          <w:tab w:val="left" w:pos="1950"/>
        </w:tabs>
        <w:spacing w:after="0"/>
        <w:jc w:val="both"/>
        <w:rPr>
          <w:rFonts w:cstheme="minorHAnsi"/>
          <w:b/>
          <w:bCs/>
        </w:rPr>
      </w:pPr>
      <w:r w:rsidRPr="006172D3">
        <w:rPr>
          <w:rFonts w:cstheme="minorHAnsi"/>
          <w:b/>
          <w:bCs/>
        </w:rPr>
        <w:t>Vodosnabdijevanje</w:t>
      </w:r>
    </w:p>
    <w:p w14:paraId="0AC1E9C0" w14:textId="5AE65CE7" w:rsidR="00F1662A" w:rsidRDefault="00C15EDA" w:rsidP="007E02E5">
      <w:pPr>
        <w:tabs>
          <w:tab w:val="left" w:pos="1950"/>
        </w:tabs>
        <w:spacing w:after="0"/>
        <w:ind w:left="360"/>
        <w:jc w:val="both"/>
        <w:rPr>
          <w:rFonts w:cstheme="minorHAnsi"/>
        </w:rPr>
      </w:pPr>
      <w:r>
        <w:rPr>
          <w:rFonts w:cstheme="minorHAnsi"/>
        </w:rPr>
        <w:t>Toplana se snabdijeva vodom na tri načina. Prvi način je vodozahvat na potoku Jaglenica (</w:t>
      </w:r>
      <w:r w:rsidR="0028218F">
        <w:rPr>
          <w:rFonts w:cstheme="minorHAnsi"/>
        </w:rPr>
        <w:t>u</w:t>
      </w:r>
      <w:r>
        <w:rPr>
          <w:rFonts w:cstheme="minorHAnsi"/>
        </w:rPr>
        <w:t>sta</w:t>
      </w:r>
      <w:r w:rsidR="0028218F">
        <w:rPr>
          <w:rFonts w:cstheme="minorHAnsi"/>
        </w:rPr>
        <w:t>v</w:t>
      </w:r>
      <w:r>
        <w:rPr>
          <w:rFonts w:cstheme="minorHAnsi"/>
        </w:rPr>
        <w:t xml:space="preserve">a). Cjevovodom se voda iz potoka doprema do prvog taložnika u krugu firme BNT TmiH d.d. Dalje se od taložnika cjevovodom voda doprema do pumpne stanice u krugu i vlasništvu toplane. Pumpna stanica se sastoji iz dvokomornog armirano.betonskog bazena i sistema pumpi za transport sirove vode. Pored toga u krugu toplane UNIS Energetika posjeduje i vlastiti bunar sa sistemom za prepumpavanje bunarske vode u jednu od komora u glavnoj pumpnoj stanici. Treći izor je gradski vodovod koji se nalazi u industrijskoj zoni BNT. Toplana godišnje potroši </w:t>
      </w:r>
      <w:r w:rsidR="00E52F9B" w:rsidRPr="00E52F9B">
        <w:rPr>
          <w:rFonts w:cstheme="minorHAnsi"/>
        </w:rPr>
        <w:t>2</w:t>
      </w:r>
      <w:r w:rsidR="008916B0">
        <w:rPr>
          <w:rFonts w:cstheme="minorHAnsi"/>
        </w:rPr>
        <w:t>3</w:t>
      </w:r>
      <w:r w:rsidR="00E52F9B" w:rsidRPr="00E52F9B">
        <w:rPr>
          <w:rFonts w:cstheme="minorHAnsi"/>
        </w:rPr>
        <w:t xml:space="preserve">00 </w:t>
      </w:r>
      <w:r w:rsidRPr="00E52F9B">
        <w:rPr>
          <w:rFonts w:cstheme="minorHAnsi"/>
        </w:rPr>
        <w:t xml:space="preserve">m3 </w:t>
      </w:r>
      <w:r>
        <w:rPr>
          <w:rFonts w:cstheme="minorHAnsi"/>
        </w:rPr>
        <w:t>sirove vode, sa vodozahvata Jaglenica</w:t>
      </w:r>
      <w:r w:rsidR="00E52F9B">
        <w:rPr>
          <w:rFonts w:cstheme="minorHAnsi"/>
        </w:rPr>
        <w:t xml:space="preserve">  i oko cca 100 m3</w:t>
      </w:r>
      <w:r w:rsidR="0028218F">
        <w:rPr>
          <w:rFonts w:cstheme="minorHAnsi"/>
        </w:rPr>
        <w:t xml:space="preserve"> se koristi u sanitarne svrhe</w:t>
      </w:r>
      <w:r>
        <w:rPr>
          <w:rFonts w:cstheme="minorHAnsi"/>
        </w:rPr>
        <w:t xml:space="preserve">. Ta voda se koristi za tehnologiju. Voda sa gradskog vodovoda se koristi u sanitarne svrhe i kao voda za piće. Voda sa bunara se ne koristi za tehnologiju, mada ima mogućnosti, ali se </w:t>
      </w:r>
      <w:r w:rsidR="009C5140">
        <w:rPr>
          <w:rFonts w:cstheme="minorHAnsi"/>
        </w:rPr>
        <w:t>uglavnom koristi za napajanje hidrantske mreže i poslova pranja kruga i prostora kotlovnice.</w:t>
      </w:r>
    </w:p>
    <w:p w14:paraId="7220577E" w14:textId="77777777" w:rsidR="00140FC7" w:rsidRDefault="00140FC7" w:rsidP="007E02E5">
      <w:pPr>
        <w:tabs>
          <w:tab w:val="left" w:pos="1950"/>
        </w:tabs>
        <w:spacing w:after="0"/>
        <w:ind w:left="360"/>
        <w:jc w:val="both"/>
        <w:rPr>
          <w:rFonts w:cstheme="minorHAnsi"/>
        </w:rPr>
      </w:pPr>
    </w:p>
    <w:tbl>
      <w:tblPr>
        <w:tblStyle w:val="Reetkatablice"/>
        <w:tblW w:w="0" w:type="auto"/>
        <w:tblInd w:w="360" w:type="dxa"/>
        <w:tblLook w:val="04A0" w:firstRow="1" w:lastRow="0" w:firstColumn="1" w:lastColumn="0" w:noHBand="0" w:noVBand="1"/>
      </w:tblPr>
      <w:tblGrid>
        <w:gridCol w:w="2175"/>
        <w:gridCol w:w="2175"/>
        <w:gridCol w:w="2176"/>
        <w:gridCol w:w="2176"/>
      </w:tblGrid>
      <w:tr w:rsidR="00A039B5" w:rsidRPr="00140FC7" w14:paraId="2D0D7CD6" w14:textId="77777777" w:rsidTr="00835460">
        <w:tc>
          <w:tcPr>
            <w:tcW w:w="8702" w:type="dxa"/>
            <w:gridSpan w:val="4"/>
            <w:shd w:val="clear" w:color="auto" w:fill="D9E2F3" w:themeFill="accent1" w:themeFillTint="33"/>
          </w:tcPr>
          <w:p w14:paraId="2B6A6E12" w14:textId="581B350D" w:rsidR="00A039B5" w:rsidRPr="00835460" w:rsidRDefault="00A039B5" w:rsidP="007E02E5">
            <w:pPr>
              <w:tabs>
                <w:tab w:val="left" w:pos="1950"/>
              </w:tabs>
              <w:jc w:val="both"/>
              <w:rPr>
                <w:rFonts w:ascii="Arial" w:hAnsi="Arial" w:cs="Arial"/>
                <w:b/>
                <w:bCs/>
                <w:sz w:val="18"/>
                <w:szCs w:val="18"/>
              </w:rPr>
            </w:pPr>
            <w:r w:rsidRPr="00835460">
              <w:rPr>
                <w:rFonts w:ascii="Arial" w:hAnsi="Arial" w:cs="Arial"/>
                <w:b/>
                <w:bCs/>
                <w:sz w:val="18"/>
                <w:szCs w:val="18"/>
              </w:rPr>
              <w:t>ULAZ</w:t>
            </w:r>
          </w:p>
        </w:tc>
      </w:tr>
      <w:tr w:rsidR="00A039B5" w:rsidRPr="00140FC7" w14:paraId="3E44D77E" w14:textId="77777777" w:rsidTr="00DE4AC0">
        <w:tc>
          <w:tcPr>
            <w:tcW w:w="4350" w:type="dxa"/>
            <w:gridSpan w:val="2"/>
          </w:tcPr>
          <w:p w14:paraId="79B5EC1F" w14:textId="39E11677" w:rsidR="00A039B5" w:rsidRPr="00140FC7" w:rsidRDefault="00A039B5" w:rsidP="007E02E5">
            <w:pPr>
              <w:tabs>
                <w:tab w:val="left" w:pos="1950"/>
              </w:tabs>
              <w:jc w:val="both"/>
              <w:rPr>
                <w:rFonts w:ascii="Arial" w:hAnsi="Arial" w:cs="Arial"/>
                <w:sz w:val="18"/>
                <w:szCs w:val="18"/>
              </w:rPr>
            </w:pPr>
            <w:r w:rsidRPr="00835460">
              <w:rPr>
                <w:rFonts w:ascii="Arial" w:hAnsi="Arial" w:cs="Arial"/>
                <w:sz w:val="18"/>
                <w:szCs w:val="18"/>
                <w:u w:val="single"/>
              </w:rPr>
              <w:t>Javni vodovod</w:t>
            </w:r>
            <w:r w:rsidRPr="00140FC7">
              <w:rPr>
                <w:rFonts w:ascii="Arial" w:hAnsi="Arial" w:cs="Arial"/>
                <w:sz w:val="18"/>
                <w:szCs w:val="18"/>
              </w:rPr>
              <w:t>: Gradski vodovod kojim upravlja JKP Vilenica vodovod Novi Travnik</w:t>
            </w:r>
          </w:p>
        </w:tc>
        <w:tc>
          <w:tcPr>
            <w:tcW w:w="4352" w:type="dxa"/>
            <w:gridSpan w:val="2"/>
          </w:tcPr>
          <w:p w14:paraId="01F56589" w14:textId="2A0A2059" w:rsidR="00A039B5" w:rsidRPr="00140FC7" w:rsidRDefault="00A039B5" w:rsidP="007E02E5">
            <w:pPr>
              <w:tabs>
                <w:tab w:val="left" w:pos="1950"/>
              </w:tabs>
              <w:jc w:val="both"/>
              <w:rPr>
                <w:rFonts w:ascii="Arial" w:hAnsi="Arial" w:cs="Arial"/>
                <w:sz w:val="18"/>
                <w:szCs w:val="18"/>
              </w:rPr>
            </w:pPr>
            <w:r w:rsidRPr="00835460">
              <w:rPr>
                <w:rFonts w:ascii="Arial" w:hAnsi="Arial" w:cs="Arial"/>
                <w:sz w:val="18"/>
                <w:szCs w:val="18"/>
                <w:u w:val="single"/>
              </w:rPr>
              <w:t>Zahvatanje površine vode</w:t>
            </w:r>
            <w:r w:rsidRPr="00140FC7">
              <w:rPr>
                <w:rFonts w:ascii="Arial" w:hAnsi="Arial" w:cs="Arial"/>
                <w:sz w:val="18"/>
                <w:szCs w:val="18"/>
              </w:rPr>
              <w:t>:</w:t>
            </w:r>
            <w:r w:rsidR="008916B0" w:rsidRPr="00140FC7">
              <w:rPr>
                <w:rFonts w:ascii="Arial" w:hAnsi="Arial" w:cs="Arial"/>
                <w:sz w:val="18"/>
                <w:szCs w:val="18"/>
              </w:rPr>
              <w:t xml:space="preserve"> Vodozahvat sa rijeke Jaglenice</w:t>
            </w:r>
          </w:p>
        </w:tc>
      </w:tr>
      <w:tr w:rsidR="00A039B5" w:rsidRPr="00140FC7" w14:paraId="3E9F2263" w14:textId="77777777" w:rsidTr="00A039B5">
        <w:tc>
          <w:tcPr>
            <w:tcW w:w="2175" w:type="dxa"/>
          </w:tcPr>
          <w:p w14:paraId="720BC262" w14:textId="3997D283" w:rsidR="00A039B5" w:rsidRPr="00140FC7" w:rsidRDefault="008916B0" w:rsidP="007E02E5">
            <w:pPr>
              <w:tabs>
                <w:tab w:val="left" w:pos="1950"/>
              </w:tabs>
              <w:jc w:val="both"/>
              <w:rPr>
                <w:rFonts w:ascii="Arial" w:hAnsi="Arial" w:cs="Arial"/>
                <w:sz w:val="18"/>
                <w:szCs w:val="18"/>
              </w:rPr>
            </w:pPr>
            <w:r w:rsidRPr="00140FC7">
              <w:rPr>
                <w:rFonts w:ascii="Arial" w:hAnsi="Arial" w:cs="Arial"/>
                <w:sz w:val="18"/>
                <w:szCs w:val="18"/>
              </w:rPr>
              <w:t>Potrošnja</w:t>
            </w:r>
          </w:p>
        </w:tc>
        <w:tc>
          <w:tcPr>
            <w:tcW w:w="2175" w:type="dxa"/>
          </w:tcPr>
          <w:p w14:paraId="482D10A1" w14:textId="7D7A1C86" w:rsidR="00A039B5" w:rsidRPr="00140FC7" w:rsidRDefault="008916B0" w:rsidP="007E02E5">
            <w:pPr>
              <w:tabs>
                <w:tab w:val="left" w:pos="1950"/>
              </w:tabs>
              <w:jc w:val="both"/>
              <w:rPr>
                <w:rFonts w:ascii="Arial" w:hAnsi="Arial" w:cs="Arial"/>
                <w:sz w:val="18"/>
                <w:szCs w:val="18"/>
              </w:rPr>
            </w:pPr>
            <w:r w:rsidRPr="00140FC7">
              <w:rPr>
                <w:rFonts w:ascii="Arial" w:hAnsi="Arial" w:cs="Arial"/>
                <w:sz w:val="18"/>
                <w:szCs w:val="18"/>
              </w:rPr>
              <w:t>%</w:t>
            </w:r>
          </w:p>
        </w:tc>
        <w:tc>
          <w:tcPr>
            <w:tcW w:w="2176" w:type="dxa"/>
          </w:tcPr>
          <w:p w14:paraId="03E3C10A" w14:textId="3DD4D45D" w:rsidR="00A039B5" w:rsidRPr="00140FC7" w:rsidRDefault="008916B0" w:rsidP="007E02E5">
            <w:pPr>
              <w:tabs>
                <w:tab w:val="left" w:pos="1950"/>
              </w:tabs>
              <w:jc w:val="both"/>
              <w:rPr>
                <w:rFonts w:ascii="Arial" w:hAnsi="Arial" w:cs="Arial"/>
                <w:sz w:val="18"/>
                <w:szCs w:val="18"/>
              </w:rPr>
            </w:pPr>
            <w:r w:rsidRPr="00140FC7">
              <w:rPr>
                <w:rFonts w:ascii="Arial" w:hAnsi="Arial" w:cs="Arial"/>
                <w:sz w:val="18"/>
                <w:szCs w:val="18"/>
              </w:rPr>
              <w:t>Potrošnja</w:t>
            </w:r>
          </w:p>
        </w:tc>
        <w:tc>
          <w:tcPr>
            <w:tcW w:w="2176" w:type="dxa"/>
          </w:tcPr>
          <w:p w14:paraId="53715A39" w14:textId="28E3C708" w:rsidR="00A039B5" w:rsidRPr="00140FC7" w:rsidRDefault="008916B0" w:rsidP="007E02E5">
            <w:pPr>
              <w:tabs>
                <w:tab w:val="left" w:pos="1950"/>
              </w:tabs>
              <w:jc w:val="both"/>
              <w:rPr>
                <w:rFonts w:ascii="Arial" w:hAnsi="Arial" w:cs="Arial"/>
                <w:sz w:val="18"/>
                <w:szCs w:val="18"/>
              </w:rPr>
            </w:pPr>
            <w:r w:rsidRPr="00140FC7">
              <w:rPr>
                <w:rFonts w:ascii="Arial" w:hAnsi="Arial" w:cs="Arial"/>
                <w:sz w:val="18"/>
                <w:szCs w:val="18"/>
              </w:rPr>
              <w:t>%</w:t>
            </w:r>
          </w:p>
        </w:tc>
      </w:tr>
      <w:tr w:rsidR="00A039B5" w:rsidRPr="00140FC7" w14:paraId="27BE59B9" w14:textId="77777777" w:rsidTr="00A039B5">
        <w:tc>
          <w:tcPr>
            <w:tcW w:w="2175" w:type="dxa"/>
          </w:tcPr>
          <w:p w14:paraId="79F6F618" w14:textId="19F595A2" w:rsidR="00A039B5" w:rsidRPr="00140FC7" w:rsidRDefault="008916B0" w:rsidP="007E02E5">
            <w:pPr>
              <w:tabs>
                <w:tab w:val="left" w:pos="1950"/>
              </w:tabs>
              <w:jc w:val="both"/>
              <w:rPr>
                <w:rFonts w:ascii="Arial" w:hAnsi="Arial" w:cs="Arial"/>
                <w:sz w:val="18"/>
                <w:szCs w:val="18"/>
              </w:rPr>
            </w:pPr>
            <w:r w:rsidRPr="00140FC7">
              <w:rPr>
                <w:rFonts w:ascii="Arial" w:hAnsi="Arial" w:cs="Arial"/>
                <w:sz w:val="18"/>
                <w:szCs w:val="18"/>
              </w:rPr>
              <w:t>100 m3</w:t>
            </w:r>
          </w:p>
        </w:tc>
        <w:tc>
          <w:tcPr>
            <w:tcW w:w="2175" w:type="dxa"/>
          </w:tcPr>
          <w:p w14:paraId="124BF786" w14:textId="729C15CE" w:rsidR="00A039B5" w:rsidRPr="00140FC7" w:rsidRDefault="008916B0" w:rsidP="007E02E5">
            <w:pPr>
              <w:tabs>
                <w:tab w:val="left" w:pos="1950"/>
              </w:tabs>
              <w:jc w:val="both"/>
              <w:rPr>
                <w:rFonts w:ascii="Arial" w:hAnsi="Arial" w:cs="Arial"/>
                <w:sz w:val="18"/>
                <w:szCs w:val="18"/>
              </w:rPr>
            </w:pPr>
            <w:r w:rsidRPr="00140FC7">
              <w:rPr>
                <w:rFonts w:ascii="Arial" w:hAnsi="Arial" w:cs="Arial"/>
                <w:sz w:val="18"/>
                <w:szCs w:val="18"/>
              </w:rPr>
              <w:t>4%</w:t>
            </w:r>
          </w:p>
        </w:tc>
        <w:tc>
          <w:tcPr>
            <w:tcW w:w="2176" w:type="dxa"/>
          </w:tcPr>
          <w:p w14:paraId="07638C73" w14:textId="42775D1E" w:rsidR="00A039B5" w:rsidRPr="00140FC7" w:rsidRDefault="008916B0" w:rsidP="007E02E5">
            <w:pPr>
              <w:tabs>
                <w:tab w:val="left" w:pos="1950"/>
              </w:tabs>
              <w:jc w:val="both"/>
              <w:rPr>
                <w:rFonts w:ascii="Arial" w:hAnsi="Arial" w:cs="Arial"/>
                <w:sz w:val="18"/>
                <w:szCs w:val="18"/>
              </w:rPr>
            </w:pPr>
            <w:r w:rsidRPr="00140FC7">
              <w:rPr>
                <w:rFonts w:ascii="Arial" w:hAnsi="Arial" w:cs="Arial"/>
                <w:sz w:val="18"/>
                <w:szCs w:val="18"/>
              </w:rPr>
              <w:t>2.300 m3/god</w:t>
            </w:r>
          </w:p>
        </w:tc>
        <w:tc>
          <w:tcPr>
            <w:tcW w:w="2176" w:type="dxa"/>
          </w:tcPr>
          <w:p w14:paraId="110FD72B" w14:textId="637C4EB3" w:rsidR="00A039B5" w:rsidRPr="00140FC7" w:rsidRDefault="008916B0" w:rsidP="007E02E5">
            <w:pPr>
              <w:tabs>
                <w:tab w:val="left" w:pos="1950"/>
              </w:tabs>
              <w:jc w:val="both"/>
              <w:rPr>
                <w:rFonts w:ascii="Arial" w:hAnsi="Arial" w:cs="Arial"/>
                <w:sz w:val="18"/>
                <w:szCs w:val="18"/>
              </w:rPr>
            </w:pPr>
            <w:r w:rsidRPr="00140FC7">
              <w:rPr>
                <w:rFonts w:ascii="Arial" w:hAnsi="Arial" w:cs="Arial"/>
                <w:sz w:val="18"/>
                <w:szCs w:val="18"/>
              </w:rPr>
              <w:t>96%</w:t>
            </w:r>
          </w:p>
        </w:tc>
      </w:tr>
    </w:tbl>
    <w:p w14:paraId="17117446" w14:textId="77777777" w:rsidR="009C5140" w:rsidRDefault="009C5140" w:rsidP="00835460">
      <w:pPr>
        <w:tabs>
          <w:tab w:val="left" w:pos="1950"/>
        </w:tabs>
        <w:spacing w:after="0"/>
        <w:jc w:val="both"/>
        <w:rPr>
          <w:rFonts w:cstheme="minorHAnsi"/>
        </w:rPr>
      </w:pPr>
    </w:p>
    <w:p w14:paraId="680F86E0" w14:textId="376D5589" w:rsidR="004E2802" w:rsidRPr="00390740" w:rsidRDefault="00390740" w:rsidP="00FC2ABF">
      <w:pPr>
        <w:pStyle w:val="Odlomakpopisa"/>
        <w:numPr>
          <w:ilvl w:val="2"/>
          <w:numId w:val="11"/>
        </w:numPr>
        <w:tabs>
          <w:tab w:val="left" w:pos="1950"/>
        </w:tabs>
        <w:spacing w:after="0"/>
        <w:jc w:val="both"/>
        <w:rPr>
          <w:b/>
          <w:bCs/>
        </w:rPr>
      </w:pPr>
      <w:r w:rsidRPr="00390740">
        <w:rPr>
          <w:b/>
          <w:bCs/>
        </w:rPr>
        <w:t>Električna energija</w:t>
      </w:r>
    </w:p>
    <w:p w14:paraId="114637BA" w14:textId="31C69861" w:rsidR="00390740" w:rsidRDefault="00390740" w:rsidP="00390740">
      <w:pPr>
        <w:tabs>
          <w:tab w:val="left" w:pos="1950"/>
        </w:tabs>
        <w:spacing w:after="0"/>
        <w:ind w:left="360"/>
        <w:jc w:val="both"/>
      </w:pPr>
      <w:r>
        <w:t>Napajanje električnom energijom vrši se preko grane 35/10 kW. Na navedenoj grani Toplana posjeduje vlastitu srednje</w:t>
      </w:r>
      <w:r w:rsidR="00E52F9B">
        <w:t>n</w:t>
      </w:r>
      <w:r>
        <w:t>ponsku ćeliju sa sklopkom i mjernom garniturom. Od srednjenaponske ćelije se dalje vodi električna energija do trafostanice TS/04 kW koja se nalazi u krugu toplane.</w:t>
      </w:r>
    </w:p>
    <w:p w14:paraId="09A68B0B" w14:textId="5E8217BB" w:rsidR="00A039B5" w:rsidRDefault="00A039B5" w:rsidP="00390740">
      <w:pPr>
        <w:tabs>
          <w:tab w:val="left" w:pos="1950"/>
        </w:tabs>
        <w:spacing w:after="0"/>
        <w:ind w:left="360"/>
        <w:jc w:val="both"/>
      </w:pPr>
      <w:r>
        <w:t>Potrošnja električne energije 200 MWh/god.</w:t>
      </w:r>
    </w:p>
    <w:p w14:paraId="195073A3" w14:textId="77777777" w:rsidR="00390740" w:rsidRDefault="00390740" w:rsidP="00390740">
      <w:pPr>
        <w:tabs>
          <w:tab w:val="left" w:pos="1950"/>
        </w:tabs>
        <w:spacing w:after="0"/>
        <w:ind w:left="360"/>
        <w:jc w:val="both"/>
      </w:pPr>
    </w:p>
    <w:p w14:paraId="0DC2B3F9" w14:textId="4F35B438" w:rsidR="00390740" w:rsidRPr="00390740" w:rsidRDefault="00390740" w:rsidP="00FC2ABF">
      <w:pPr>
        <w:pStyle w:val="Odlomakpopisa"/>
        <w:numPr>
          <w:ilvl w:val="0"/>
          <w:numId w:val="11"/>
        </w:numPr>
        <w:tabs>
          <w:tab w:val="left" w:pos="1950"/>
        </w:tabs>
        <w:spacing w:after="0"/>
        <w:jc w:val="both"/>
        <w:rPr>
          <w:b/>
          <w:bCs/>
        </w:rPr>
      </w:pPr>
      <w:r w:rsidRPr="00390740">
        <w:rPr>
          <w:b/>
          <w:bCs/>
        </w:rPr>
        <w:t>Emisija koje pogon i postrojenje imaju u okoliš</w:t>
      </w:r>
    </w:p>
    <w:p w14:paraId="3C1C161A" w14:textId="0E42E818" w:rsidR="00390740" w:rsidRDefault="00390740" w:rsidP="00FC2ABF">
      <w:pPr>
        <w:pStyle w:val="Odlomakpopisa"/>
        <w:numPr>
          <w:ilvl w:val="1"/>
          <w:numId w:val="11"/>
        </w:numPr>
        <w:tabs>
          <w:tab w:val="left" w:pos="1950"/>
        </w:tabs>
        <w:spacing w:after="0"/>
        <w:jc w:val="both"/>
        <w:rPr>
          <w:b/>
          <w:bCs/>
        </w:rPr>
      </w:pPr>
      <w:r w:rsidRPr="00390740">
        <w:rPr>
          <w:b/>
          <w:bCs/>
        </w:rPr>
        <w:t>Emisije u zrak</w:t>
      </w:r>
    </w:p>
    <w:p w14:paraId="215AD79B" w14:textId="3A1919EA" w:rsidR="00390740" w:rsidRDefault="00390740" w:rsidP="00390740">
      <w:pPr>
        <w:tabs>
          <w:tab w:val="left" w:pos="1950"/>
        </w:tabs>
        <w:spacing w:after="0"/>
        <w:ind w:left="360"/>
        <w:jc w:val="both"/>
      </w:pPr>
      <w:r>
        <w:t>Izvor štetnih emisija u zrak je isključivo proces sagorijevanja uglja u ložištu jednog kotla. Kotao radi kontinuirano sa otprilike 20% kapaciteta (10% kapaciteta kotlovnice) tokom čitave grij</w:t>
      </w:r>
      <w:r w:rsidR="00541AF8">
        <w:t>n</w:t>
      </w:r>
      <w:r>
        <w:t>e sezone. Ugalj koji se koristi je mrki ugalj granulacije grah-orah iz RMU Banovi</w:t>
      </w:r>
      <w:r w:rsidR="008E6FDC">
        <w:t>ć</w:t>
      </w:r>
      <w:r>
        <w:t>i i Bila. Mjerenje emisija u zrak iz kotla 5,</w:t>
      </w:r>
      <w:r w:rsidR="002E39F0">
        <w:t xml:space="preserve"> 22.12.2022.</w:t>
      </w:r>
      <w:r w:rsidR="002E39F0" w:rsidRPr="00140FC7">
        <w:t>godine</w:t>
      </w:r>
      <w:r w:rsidRPr="00140FC7">
        <w:t xml:space="preserve"> j</w:t>
      </w:r>
      <w:r>
        <w:t xml:space="preserve">e izvršila </w:t>
      </w:r>
      <w:r w:rsidR="00140FC7">
        <w:t>„</w:t>
      </w:r>
      <w:r w:rsidR="002E39F0">
        <w:t>Inspekt RGH</w:t>
      </w:r>
      <w:r w:rsidR="00140FC7">
        <w:t>“</w:t>
      </w:r>
      <w:r w:rsidR="002E39F0">
        <w:t xml:space="preserve"> d.o.o. Sarajevo</w:t>
      </w:r>
      <w:r>
        <w:t>. Vrsta goriva je ugalj, dok je godišnji broj sati procijenjen na 3</w:t>
      </w:r>
      <w:r w:rsidR="008E6FDC">
        <w:t>144</w:t>
      </w:r>
      <w:r>
        <w:t xml:space="preserve"> h</w:t>
      </w:r>
      <w:r w:rsidR="008E6FDC">
        <w:t>/god</w:t>
      </w:r>
      <w:r>
        <w:t>. Mjerno mjesto, na dimovodnoj cijevi dimnog kanala. Rzultati (mg/</w:t>
      </w:r>
      <w:r w:rsidR="00F769A0">
        <w:t>N</w:t>
      </w:r>
      <w:r>
        <w:t>m3), svedeni na suhi plin</w:t>
      </w:r>
      <w:r w:rsidR="00FC2ABF">
        <w:t xml:space="preserve"> </w:t>
      </w:r>
      <w:r>
        <w:t>i ref.kisik 6% su prikazani u tabeli:</w:t>
      </w:r>
    </w:p>
    <w:p w14:paraId="241F0B32" w14:textId="01B70DA8" w:rsidR="00390740" w:rsidRPr="004D7D45" w:rsidRDefault="00390740" w:rsidP="00390740">
      <w:pPr>
        <w:tabs>
          <w:tab w:val="left" w:pos="1950"/>
        </w:tabs>
        <w:spacing w:after="0"/>
        <w:ind w:left="360"/>
        <w:jc w:val="both"/>
        <w:rPr>
          <w:i/>
          <w:iCs/>
        </w:rPr>
      </w:pPr>
      <w:r w:rsidRPr="004D7D45">
        <w:rPr>
          <w:i/>
          <w:iCs/>
        </w:rPr>
        <w:t>Rezultati mjerenja koncetracije zagađujućih materija u zrak i poređenje sa graničnim vrijednostima.</w:t>
      </w:r>
    </w:p>
    <w:p w14:paraId="49B3C809" w14:textId="77777777" w:rsidR="00390740" w:rsidRDefault="00390740" w:rsidP="00390740">
      <w:pPr>
        <w:tabs>
          <w:tab w:val="left" w:pos="1950"/>
        </w:tabs>
        <w:spacing w:after="0"/>
        <w:ind w:left="360"/>
        <w:jc w:val="both"/>
      </w:pPr>
    </w:p>
    <w:tbl>
      <w:tblPr>
        <w:tblStyle w:val="Reetkatablice"/>
        <w:tblW w:w="0" w:type="auto"/>
        <w:tblInd w:w="360" w:type="dxa"/>
        <w:tblLook w:val="04A0" w:firstRow="1" w:lastRow="0" w:firstColumn="1" w:lastColumn="0" w:noHBand="0" w:noVBand="1"/>
      </w:tblPr>
      <w:tblGrid>
        <w:gridCol w:w="2329"/>
        <w:gridCol w:w="1173"/>
        <w:gridCol w:w="1717"/>
        <w:gridCol w:w="1730"/>
        <w:gridCol w:w="1753"/>
      </w:tblGrid>
      <w:tr w:rsidR="004D7D45" w:rsidRPr="00FC2ABF" w14:paraId="7E6E44BE" w14:textId="77777777" w:rsidTr="00FC2ABF">
        <w:tc>
          <w:tcPr>
            <w:tcW w:w="2329" w:type="dxa"/>
            <w:shd w:val="clear" w:color="auto" w:fill="D9E2F3" w:themeFill="accent1" w:themeFillTint="33"/>
          </w:tcPr>
          <w:p w14:paraId="5DE6B5E2" w14:textId="7C8DAA44" w:rsidR="004D7D45" w:rsidRPr="00FC2ABF" w:rsidRDefault="004D7D45" w:rsidP="004D7D45">
            <w:pPr>
              <w:tabs>
                <w:tab w:val="left" w:pos="1950"/>
              </w:tabs>
              <w:jc w:val="center"/>
              <w:rPr>
                <w:rFonts w:ascii="Arial" w:hAnsi="Arial" w:cs="Arial"/>
                <w:b/>
                <w:bCs/>
                <w:sz w:val="18"/>
                <w:szCs w:val="18"/>
              </w:rPr>
            </w:pPr>
            <w:r w:rsidRPr="00FC2ABF">
              <w:rPr>
                <w:rFonts w:ascii="Arial" w:hAnsi="Arial" w:cs="Arial"/>
                <w:b/>
                <w:bCs/>
                <w:sz w:val="18"/>
                <w:szCs w:val="18"/>
              </w:rPr>
              <w:t>Paramter</w:t>
            </w:r>
          </w:p>
        </w:tc>
        <w:tc>
          <w:tcPr>
            <w:tcW w:w="1173" w:type="dxa"/>
            <w:shd w:val="clear" w:color="auto" w:fill="D9E2F3" w:themeFill="accent1" w:themeFillTint="33"/>
          </w:tcPr>
          <w:p w14:paraId="76DC915D" w14:textId="0CF1166F" w:rsidR="004D7D45" w:rsidRPr="00FC2ABF" w:rsidRDefault="004D7D45" w:rsidP="004D7D45">
            <w:pPr>
              <w:tabs>
                <w:tab w:val="left" w:pos="1950"/>
              </w:tabs>
              <w:jc w:val="center"/>
              <w:rPr>
                <w:rFonts w:ascii="Arial" w:hAnsi="Arial" w:cs="Arial"/>
                <w:b/>
                <w:bCs/>
                <w:sz w:val="18"/>
                <w:szCs w:val="18"/>
              </w:rPr>
            </w:pPr>
            <w:r w:rsidRPr="00FC2ABF">
              <w:rPr>
                <w:rFonts w:ascii="Arial" w:hAnsi="Arial" w:cs="Arial"/>
                <w:b/>
                <w:bCs/>
                <w:sz w:val="18"/>
                <w:szCs w:val="18"/>
              </w:rPr>
              <w:t>Jedinica</w:t>
            </w:r>
          </w:p>
        </w:tc>
        <w:tc>
          <w:tcPr>
            <w:tcW w:w="1717" w:type="dxa"/>
            <w:shd w:val="clear" w:color="auto" w:fill="D9E2F3" w:themeFill="accent1" w:themeFillTint="33"/>
          </w:tcPr>
          <w:p w14:paraId="06C19D11" w14:textId="61C9E6C4" w:rsidR="004D7D45" w:rsidRPr="00FC2ABF" w:rsidRDefault="004D7D45" w:rsidP="004D7D45">
            <w:pPr>
              <w:tabs>
                <w:tab w:val="left" w:pos="1950"/>
              </w:tabs>
              <w:jc w:val="center"/>
              <w:rPr>
                <w:rFonts w:ascii="Arial" w:hAnsi="Arial" w:cs="Arial"/>
                <w:b/>
                <w:bCs/>
                <w:sz w:val="18"/>
                <w:szCs w:val="18"/>
              </w:rPr>
            </w:pPr>
            <w:r w:rsidRPr="00FC2ABF">
              <w:rPr>
                <w:rFonts w:ascii="Arial" w:hAnsi="Arial" w:cs="Arial"/>
                <w:b/>
                <w:bCs/>
                <w:sz w:val="18"/>
                <w:szCs w:val="18"/>
              </w:rPr>
              <w:t>Kotao 4</w:t>
            </w:r>
          </w:p>
        </w:tc>
        <w:tc>
          <w:tcPr>
            <w:tcW w:w="1730" w:type="dxa"/>
            <w:shd w:val="clear" w:color="auto" w:fill="D9E2F3" w:themeFill="accent1" w:themeFillTint="33"/>
          </w:tcPr>
          <w:p w14:paraId="4CB34774" w14:textId="64DF1C08" w:rsidR="004D7D45" w:rsidRPr="00FC2ABF" w:rsidRDefault="004D7D45" w:rsidP="004D7D45">
            <w:pPr>
              <w:tabs>
                <w:tab w:val="left" w:pos="1950"/>
              </w:tabs>
              <w:jc w:val="center"/>
              <w:rPr>
                <w:rFonts w:ascii="Arial" w:hAnsi="Arial" w:cs="Arial"/>
                <w:b/>
                <w:bCs/>
                <w:sz w:val="18"/>
                <w:szCs w:val="18"/>
              </w:rPr>
            </w:pPr>
            <w:r w:rsidRPr="00FC2ABF">
              <w:rPr>
                <w:rFonts w:ascii="Arial" w:hAnsi="Arial" w:cs="Arial"/>
                <w:b/>
                <w:bCs/>
                <w:sz w:val="18"/>
                <w:szCs w:val="18"/>
              </w:rPr>
              <w:t>Kotao 5</w:t>
            </w:r>
          </w:p>
        </w:tc>
        <w:tc>
          <w:tcPr>
            <w:tcW w:w="1753" w:type="dxa"/>
            <w:shd w:val="clear" w:color="auto" w:fill="D9E2F3" w:themeFill="accent1" w:themeFillTint="33"/>
          </w:tcPr>
          <w:p w14:paraId="14C90269" w14:textId="584F9861" w:rsidR="004D7D45" w:rsidRPr="00FC2ABF" w:rsidRDefault="004D7D45" w:rsidP="004D7D45">
            <w:pPr>
              <w:tabs>
                <w:tab w:val="left" w:pos="1950"/>
              </w:tabs>
              <w:jc w:val="center"/>
              <w:rPr>
                <w:rFonts w:ascii="Arial" w:hAnsi="Arial" w:cs="Arial"/>
                <w:b/>
                <w:bCs/>
                <w:sz w:val="18"/>
                <w:szCs w:val="18"/>
              </w:rPr>
            </w:pPr>
            <w:r w:rsidRPr="00FC2ABF">
              <w:rPr>
                <w:rFonts w:ascii="Arial" w:hAnsi="Arial" w:cs="Arial"/>
                <w:b/>
                <w:bCs/>
                <w:sz w:val="18"/>
                <w:szCs w:val="18"/>
              </w:rPr>
              <w:t>G</w:t>
            </w:r>
            <w:r w:rsidR="00756CD2" w:rsidRPr="00FC2ABF">
              <w:rPr>
                <w:rFonts w:ascii="Arial" w:hAnsi="Arial" w:cs="Arial"/>
                <w:b/>
                <w:bCs/>
                <w:sz w:val="18"/>
                <w:szCs w:val="18"/>
              </w:rPr>
              <w:t>ranične vrijednosti</w:t>
            </w:r>
          </w:p>
        </w:tc>
      </w:tr>
      <w:tr w:rsidR="004D7D45" w:rsidRPr="00FC2ABF" w14:paraId="655900AF" w14:textId="77777777" w:rsidTr="00FC2ABF">
        <w:tc>
          <w:tcPr>
            <w:tcW w:w="2329" w:type="dxa"/>
          </w:tcPr>
          <w:p w14:paraId="67501B9E" w14:textId="2ADF6288" w:rsidR="004D7D45" w:rsidRPr="00FC2ABF" w:rsidRDefault="004D7D45" w:rsidP="004D7D45">
            <w:pPr>
              <w:tabs>
                <w:tab w:val="left" w:pos="1950"/>
              </w:tabs>
              <w:rPr>
                <w:rFonts w:ascii="Arial" w:hAnsi="Arial" w:cs="Arial"/>
                <w:sz w:val="18"/>
                <w:szCs w:val="18"/>
              </w:rPr>
            </w:pPr>
            <w:r w:rsidRPr="00FC2ABF">
              <w:rPr>
                <w:rFonts w:ascii="Arial" w:hAnsi="Arial" w:cs="Arial"/>
                <w:sz w:val="18"/>
                <w:szCs w:val="18"/>
              </w:rPr>
              <w:t>Koncentracija ugljen monoksida CO</w:t>
            </w:r>
          </w:p>
        </w:tc>
        <w:tc>
          <w:tcPr>
            <w:tcW w:w="1173" w:type="dxa"/>
          </w:tcPr>
          <w:p w14:paraId="07405A23" w14:textId="7BF6C275"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Mg/</w:t>
            </w:r>
            <w:r w:rsidR="00F769A0" w:rsidRPr="00FC2ABF">
              <w:rPr>
                <w:rFonts w:ascii="Arial" w:hAnsi="Arial" w:cs="Arial"/>
                <w:sz w:val="18"/>
                <w:szCs w:val="18"/>
              </w:rPr>
              <w:t>N</w:t>
            </w:r>
            <w:r w:rsidRPr="00FC2ABF">
              <w:rPr>
                <w:rFonts w:ascii="Arial" w:hAnsi="Arial" w:cs="Arial"/>
                <w:sz w:val="18"/>
                <w:szCs w:val="18"/>
              </w:rPr>
              <w:t>m3</w:t>
            </w:r>
          </w:p>
        </w:tc>
        <w:tc>
          <w:tcPr>
            <w:tcW w:w="1717" w:type="dxa"/>
          </w:tcPr>
          <w:p w14:paraId="4ACEAD1B" w14:textId="4E0E742D"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Ne radi</w:t>
            </w:r>
          </w:p>
        </w:tc>
        <w:tc>
          <w:tcPr>
            <w:tcW w:w="1730" w:type="dxa"/>
          </w:tcPr>
          <w:p w14:paraId="75D3CE14" w14:textId="5C084282" w:rsidR="004D7D45" w:rsidRPr="00FC2ABF" w:rsidRDefault="00F769A0" w:rsidP="004D7D45">
            <w:pPr>
              <w:tabs>
                <w:tab w:val="left" w:pos="1950"/>
              </w:tabs>
              <w:jc w:val="center"/>
              <w:rPr>
                <w:rFonts w:ascii="Arial" w:hAnsi="Arial" w:cs="Arial"/>
                <w:sz w:val="18"/>
                <w:szCs w:val="18"/>
              </w:rPr>
            </w:pPr>
            <w:r w:rsidRPr="00FC2ABF">
              <w:rPr>
                <w:rFonts w:ascii="Arial" w:hAnsi="Arial" w:cs="Arial"/>
                <w:sz w:val="18"/>
                <w:szCs w:val="18"/>
              </w:rPr>
              <w:t>148,65</w:t>
            </w:r>
          </w:p>
        </w:tc>
        <w:tc>
          <w:tcPr>
            <w:tcW w:w="1753" w:type="dxa"/>
          </w:tcPr>
          <w:p w14:paraId="5995DD56" w14:textId="17F022A8"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150</w:t>
            </w:r>
          </w:p>
        </w:tc>
      </w:tr>
      <w:tr w:rsidR="004D7D45" w:rsidRPr="00FC2ABF" w14:paraId="2D8B850C" w14:textId="77777777" w:rsidTr="00FC2ABF">
        <w:tc>
          <w:tcPr>
            <w:tcW w:w="2329" w:type="dxa"/>
          </w:tcPr>
          <w:p w14:paraId="227C2E9D" w14:textId="3EB916F0" w:rsidR="004D7D45" w:rsidRPr="00FC2ABF" w:rsidRDefault="004D7D45" w:rsidP="004D7D45">
            <w:pPr>
              <w:tabs>
                <w:tab w:val="left" w:pos="1950"/>
              </w:tabs>
              <w:rPr>
                <w:rFonts w:ascii="Arial" w:hAnsi="Arial" w:cs="Arial"/>
                <w:sz w:val="18"/>
                <w:szCs w:val="18"/>
              </w:rPr>
            </w:pPr>
            <w:r w:rsidRPr="00FC2ABF">
              <w:rPr>
                <w:rFonts w:ascii="Arial" w:hAnsi="Arial" w:cs="Arial"/>
                <w:sz w:val="18"/>
                <w:szCs w:val="18"/>
              </w:rPr>
              <w:t>Koncentracija sumpor dioksida SO2</w:t>
            </w:r>
          </w:p>
        </w:tc>
        <w:tc>
          <w:tcPr>
            <w:tcW w:w="1173" w:type="dxa"/>
          </w:tcPr>
          <w:p w14:paraId="11150C3D" w14:textId="448EF093"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Mg/</w:t>
            </w:r>
            <w:r w:rsidR="00F769A0" w:rsidRPr="00FC2ABF">
              <w:rPr>
                <w:rFonts w:ascii="Arial" w:hAnsi="Arial" w:cs="Arial"/>
                <w:sz w:val="18"/>
                <w:szCs w:val="18"/>
              </w:rPr>
              <w:t>N</w:t>
            </w:r>
            <w:r w:rsidRPr="00FC2ABF">
              <w:rPr>
                <w:rFonts w:ascii="Arial" w:hAnsi="Arial" w:cs="Arial"/>
                <w:sz w:val="18"/>
                <w:szCs w:val="18"/>
              </w:rPr>
              <w:t>m3</w:t>
            </w:r>
          </w:p>
        </w:tc>
        <w:tc>
          <w:tcPr>
            <w:tcW w:w="1717" w:type="dxa"/>
          </w:tcPr>
          <w:p w14:paraId="6F833369" w14:textId="050EB24F"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Ne radi</w:t>
            </w:r>
          </w:p>
        </w:tc>
        <w:tc>
          <w:tcPr>
            <w:tcW w:w="1730" w:type="dxa"/>
          </w:tcPr>
          <w:p w14:paraId="17582647" w14:textId="6588C592" w:rsidR="004D7D45" w:rsidRPr="00FC2ABF" w:rsidRDefault="00F769A0" w:rsidP="004D7D45">
            <w:pPr>
              <w:tabs>
                <w:tab w:val="left" w:pos="1950"/>
              </w:tabs>
              <w:jc w:val="center"/>
              <w:rPr>
                <w:rFonts w:ascii="Arial" w:hAnsi="Arial" w:cs="Arial"/>
                <w:sz w:val="18"/>
                <w:szCs w:val="18"/>
              </w:rPr>
            </w:pPr>
            <w:r w:rsidRPr="00FC2ABF">
              <w:rPr>
                <w:rFonts w:ascii="Arial" w:hAnsi="Arial" w:cs="Arial"/>
                <w:sz w:val="18"/>
                <w:szCs w:val="18"/>
              </w:rPr>
              <w:t>2967,66</w:t>
            </w:r>
          </w:p>
        </w:tc>
        <w:tc>
          <w:tcPr>
            <w:tcW w:w="1753" w:type="dxa"/>
          </w:tcPr>
          <w:p w14:paraId="2BC13142" w14:textId="466ECBEF"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2000</w:t>
            </w:r>
          </w:p>
        </w:tc>
      </w:tr>
      <w:tr w:rsidR="004D7D45" w:rsidRPr="00FC2ABF" w14:paraId="249A5A82" w14:textId="77777777" w:rsidTr="00FC2ABF">
        <w:tc>
          <w:tcPr>
            <w:tcW w:w="2329" w:type="dxa"/>
          </w:tcPr>
          <w:p w14:paraId="5C7BEF8E" w14:textId="099E5EED" w:rsidR="004D7D45" w:rsidRPr="00FC2ABF" w:rsidRDefault="004D7D45" w:rsidP="004D7D45">
            <w:pPr>
              <w:tabs>
                <w:tab w:val="left" w:pos="1950"/>
              </w:tabs>
              <w:rPr>
                <w:rFonts w:ascii="Arial" w:hAnsi="Arial" w:cs="Arial"/>
                <w:sz w:val="18"/>
                <w:szCs w:val="18"/>
              </w:rPr>
            </w:pPr>
            <w:r w:rsidRPr="00FC2ABF">
              <w:rPr>
                <w:rFonts w:ascii="Arial" w:hAnsi="Arial" w:cs="Arial"/>
                <w:sz w:val="18"/>
                <w:szCs w:val="18"/>
              </w:rPr>
              <w:t>Koncentracija azotnih oksida NOx</w:t>
            </w:r>
          </w:p>
        </w:tc>
        <w:tc>
          <w:tcPr>
            <w:tcW w:w="1173" w:type="dxa"/>
          </w:tcPr>
          <w:p w14:paraId="19A1FE65" w14:textId="3AB00ACC"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Mg/</w:t>
            </w:r>
            <w:r w:rsidR="00F769A0" w:rsidRPr="00FC2ABF">
              <w:rPr>
                <w:rFonts w:ascii="Arial" w:hAnsi="Arial" w:cs="Arial"/>
                <w:sz w:val="18"/>
                <w:szCs w:val="18"/>
              </w:rPr>
              <w:t>N</w:t>
            </w:r>
            <w:r w:rsidRPr="00FC2ABF">
              <w:rPr>
                <w:rFonts w:ascii="Arial" w:hAnsi="Arial" w:cs="Arial"/>
                <w:sz w:val="18"/>
                <w:szCs w:val="18"/>
              </w:rPr>
              <w:t>m3</w:t>
            </w:r>
          </w:p>
        </w:tc>
        <w:tc>
          <w:tcPr>
            <w:tcW w:w="1717" w:type="dxa"/>
          </w:tcPr>
          <w:p w14:paraId="76A91A11" w14:textId="3E48F7E2"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Ne radi</w:t>
            </w:r>
          </w:p>
        </w:tc>
        <w:tc>
          <w:tcPr>
            <w:tcW w:w="1730" w:type="dxa"/>
          </w:tcPr>
          <w:p w14:paraId="5059F2EA" w14:textId="5174A7B1" w:rsidR="004D7D45" w:rsidRPr="00FC2ABF" w:rsidRDefault="00F769A0" w:rsidP="004D7D45">
            <w:pPr>
              <w:tabs>
                <w:tab w:val="left" w:pos="1950"/>
              </w:tabs>
              <w:jc w:val="center"/>
              <w:rPr>
                <w:rFonts w:ascii="Arial" w:hAnsi="Arial" w:cs="Arial"/>
                <w:sz w:val="18"/>
                <w:szCs w:val="18"/>
              </w:rPr>
            </w:pPr>
            <w:r w:rsidRPr="00FC2ABF">
              <w:rPr>
                <w:rFonts w:ascii="Arial" w:hAnsi="Arial" w:cs="Arial"/>
                <w:sz w:val="18"/>
                <w:szCs w:val="18"/>
              </w:rPr>
              <w:t xml:space="preserve">388,13 </w:t>
            </w:r>
          </w:p>
        </w:tc>
        <w:tc>
          <w:tcPr>
            <w:tcW w:w="1753" w:type="dxa"/>
          </w:tcPr>
          <w:p w14:paraId="25C8D4D9" w14:textId="5C9B4FC0"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400</w:t>
            </w:r>
          </w:p>
        </w:tc>
      </w:tr>
      <w:tr w:rsidR="004D7D45" w:rsidRPr="00FC2ABF" w14:paraId="1A989A36" w14:textId="77777777" w:rsidTr="00FC2ABF">
        <w:tc>
          <w:tcPr>
            <w:tcW w:w="2329" w:type="dxa"/>
          </w:tcPr>
          <w:p w14:paraId="508EE041" w14:textId="5E3231FE" w:rsidR="004D7D45" w:rsidRPr="00FC2ABF" w:rsidRDefault="004D7D45" w:rsidP="004D7D45">
            <w:pPr>
              <w:tabs>
                <w:tab w:val="left" w:pos="1950"/>
              </w:tabs>
              <w:rPr>
                <w:rFonts w:ascii="Arial" w:hAnsi="Arial" w:cs="Arial"/>
                <w:sz w:val="18"/>
                <w:szCs w:val="18"/>
              </w:rPr>
            </w:pPr>
            <w:r w:rsidRPr="00FC2ABF">
              <w:rPr>
                <w:rFonts w:ascii="Arial" w:hAnsi="Arial" w:cs="Arial"/>
                <w:sz w:val="18"/>
                <w:szCs w:val="18"/>
              </w:rPr>
              <w:t>Koncetracija čvrstih čestica u gasovima</w:t>
            </w:r>
          </w:p>
        </w:tc>
        <w:tc>
          <w:tcPr>
            <w:tcW w:w="1173" w:type="dxa"/>
          </w:tcPr>
          <w:p w14:paraId="143DEBD7" w14:textId="0E9B1452"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Mg/</w:t>
            </w:r>
            <w:r w:rsidR="00F769A0" w:rsidRPr="00FC2ABF">
              <w:rPr>
                <w:rFonts w:ascii="Arial" w:hAnsi="Arial" w:cs="Arial"/>
                <w:sz w:val="18"/>
                <w:szCs w:val="18"/>
              </w:rPr>
              <w:t>N</w:t>
            </w:r>
            <w:r w:rsidRPr="00FC2ABF">
              <w:rPr>
                <w:rFonts w:ascii="Arial" w:hAnsi="Arial" w:cs="Arial"/>
                <w:sz w:val="18"/>
                <w:szCs w:val="18"/>
              </w:rPr>
              <w:t>m3</w:t>
            </w:r>
          </w:p>
        </w:tc>
        <w:tc>
          <w:tcPr>
            <w:tcW w:w="1717" w:type="dxa"/>
          </w:tcPr>
          <w:p w14:paraId="268D62DC" w14:textId="73A34F76"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Ne radi</w:t>
            </w:r>
          </w:p>
        </w:tc>
        <w:tc>
          <w:tcPr>
            <w:tcW w:w="1730" w:type="dxa"/>
          </w:tcPr>
          <w:p w14:paraId="19165DE7" w14:textId="1D56FDD5" w:rsidR="004D7D45" w:rsidRPr="00FC2ABF" w:rsidRDefault="00F769A0" w:rsidP="004D7D45">
            <w:pPr>
              <w:tabs>
                <w:tab w:val="left" w:pos="1950"/>
              </w:tabs>
              <w:jc w:val="center"/>
              <w:rPr>
                <w:rFonts w:ascii="Arial" w:hAnsi="Arial" w:cs="Arial"/>
                <w:sz w:val="18"/>
                <w:szCs w:val="18"/>
              </w:rPr>
            </w:pPr>
            <w:r w:rsidRPr="00FC2ABF">
              <w:rPr>
                <w:rFonts w:ascii="Arial" w:hAnsi="Arial" w:cs="Arial"/>
                <w:sz w:val="18"/>
                <w:szCs w:val="18"/>
              </w:rPr>
              <w:t>135,80</w:t>
            </w:r>
          </w:p>
        </w:tc>
        <w:tc>
          <w:tcPr>
            <w:tcW w:w="1753" w:type="dxa"/>
          </w:tcPr>
          <w:p w14:paraId="0A1D2171" w14:textId="4F22F0A6" w:rsidR="004D7D45" w:rsidRPr="00FC2ABF" w:rsidRDefault="004D7D45" w:rsidP="004D7D45">
            <w:pPr>
              <w:tabs>
                <w:tab w:val="left" w:pos="1950"/>
              </w:tabs>
              <w:jc w:val="center"/>
              <w:rPr>
                <w:rFonts w:ascii="Arial" w:hAnsi="Arial" w:cs="Arial"/>
                <w:sz w:val="18"/>
                <w:szCs w:val="18"/>
              </w:rPr>
            </w:pPr>
            <w:r w:rsidRPr="00FC2ABF">
              <w:rPr>
                <w:rFonts w:ascii="Arial" w:hAnsi="Arial" w:cs="Arial"/>
                <w:sz w:val="18"/>
                <w:szCs w:val="18"/>
              </w:rPr>
              <w:t>50</w:t>
            </w:r>
          </w:p>
        </w:tc>
      </w:tr>
    </w:tbl>
    <w:p w14:paraId="6D953223" w14:textId="77777777" w:rsidR="004D7D45" w:rsidRDefault="004D7D45" w:rsidP="00390740">
      <w:pPr>
        <w:tabs>
          <w:tab w:val="left" w:pos="1950"/>
        </w:tabs>
        <w:spacing w:after="0"/>
        <w:ind w:left="360"/>
        <w:jc w:val="both"/>
      </w:pPr>
    </w:p>
    <w:p w14:paraId="27B0A943" w14:textId="77777777" w:rsidR="009915EE" w:rsidRDefault="004D7D45" w:rsidP="00390740">
      <w:pPr>
        <w:tabs>
          <w:tab w:val="left" w:pos="1950"/>
        </w:tabs>
        <w:spacing w:after="0"/>
        <w:ind w:left="360"/>
        <w:jc w:val="both"/>
      </w:pPr>
      <w:r>
        <w:t>Na osnovu rezultata mjerenja, može se konstatovati da emisije u zrak polutanata čvrstih čestica</w:t>
      </w:r>
      <w:r w:rsidR="009915EE">
        <w:t xml:space="preserve"> i</w:t>
      </w:r>
      <w:r>
        <w:t xml:space="preserve"> SO2 </w:t>
      </w:r>
      <w:r w:rsidRPr="00756CD2">
        <w:rPr>
          <w:u w:val="single"/>
        </w:rPr>
        <w:t>ne zadovolja</w:t>
      </w:r>
      <w:r w:rsidR="00BA6F81" w:rsidRPr="00756CD2">
        <w:rPr>
          <w:u w:val="single"/>
        </w:rPr>
        <w:t>va</w:t>
      </w:r>
      <w:r w:rsidRPr="00756CD2">
        <w:rPr>
          <w:u w:val="single"/>
        </w:rPr>
        <w:t>ju</w:t>
      </w:r>
      <w:r>
        <w:t xml:space="preserve"> granične vrijednosti emisija u zrak propisane pravilnikom o graničnim vrijednostima emisija u zrak iz postrojenja za sagorijevanje („Službene novine FBiH“, br. 3/13</w:t>
      </w:r>
      <w:r w:rsidR="002E39F0">
        <w:t>, 92/17</w:t>
      </w:r>
      <w:r>
        <w:t>).</w:t>
      </w:r>
      <w:r w:rsidR="009915EE">
        <w:t xml:space="preserve"> </w:t>
      </w:r>
    </w:p>
    <w:p w14:paraId="1171230D" w14:textId="461792F1" w:rsidR="004D7D45" w:rsidRPr="002E0F18" w:rsidRDefault="009915EE" w:rsidP="00390740">
      <w:pPr>
        <w:tabs>
          <w:tab w:val="left" w:pos="1950"/>
        </w:tabs>
        <w:spacing w:after="0"/>
        <w:ind w:left="360"/>
        <w:jc w:val="both"/>
        <w:rPr>
          <w:u w:val="single"/>
        </w:rPr>
      </w:pPr>
      <w:r w:rsidRPr="009915EE">
        <w:rPr>
          <w:b/>
          <w:bCs/>
        </w:rPr>
        <w:t>Preporuka</w:t>
      </w:r>
      <w:r>
        <w:t xml:space="preserve">: </w:t>
      </w:r>
      <w:r w:rsidRPr="009915EE">
        <w:rPr>
          <w:u w:val="single"/>
        </w:rPr>
        <w:t>Izvršiti čišćenje dimovodnih kanala i servisiranje kotlovskog postrojenja, kako bi se emisije polutanata svele na minimum</w:t>
      </w:r>
      <w:r>
        <w:t>.</w:t>
      </w:r>
      <w:r w:rsidR="002E0F18" w:rsidRPr="002E0F18">
        <w:t xml:space="preserve"> </w:t>
      </w:r>
      <w:r w:rsidR="002E0F18" w:rsidRPr="002E0F18">
        <w:rPr>
          <w:u w:val="single"/>
        </w:rPr>
        <w:t>Stalno kontroli</w:t>
      </w:r>
      <w:r w:rsidR="002E0F18">
        <w:rPr>
          <w:u w:val="single"/>
        </w:rPr>
        <w:t>r</w:t>
      </w:r>
      <w:r w:rsidR="002E0F18" w:rsidRPr="002E0F18">
        <w:rPr>
          <w:u w:val="single"/>
        </w:rPr>
        <w:t>ati i nabavljati ugalj koji ima što manji udio sumpora.</w:t>
      </w:r>
    </w:p>
    <w:p w14:paraId="28444008" w14:textId="77777777" w:rsidR="004D7D45" w:rsidRDefault="004D7D45" w:rsidP="00390740">
      <w:pPr>
        <w:tabs>
          <w:tab w:val="left" w:pos="1950"/>
        </w:tabs>
        <w:spacing w:after="0"/>
        <w:ind w:left="360"/>
        <w:jc w:val="both"/>
      </w:pPr>
    </w:p>
    <w:p w14:paraId="421958A4" w14:textId="69427C82" w:rsidR="004D7D45" w:rsidRPr="008B6844" w:rsidRDefault="004D7D45" w:rsidP="00FC2ABF">
      <w:pPr>
        <w:pStyle w:val="Odlomakpopisa"/>
        <w:numPr>
          <w:ilvl w:val="1"/>
          <w:numId w:val="11"/>
        </w:numPr>
        <w:tabs>
          <w:tab w:val="left" w:pos="1950"/>
        </w:tabs>
        <w:spacing w:after="0"/>
        <w:jc w:val="both"/>
        <w:rPr>
          <w:b/>
          <w:bCs/>
        </w:rPr>
      </w:pPr>
      <w:r w:rsidRPr="008B6844">
        <w:rPr>
          <w:b/>
          <w:bCs/>
        </w:rPr>
        <w:t>Emisije u vodu</w:t>
      </w:r>
    </w:p>
    <w:p w14:paraId="068C7CE8" w14:textId="1F195F24" w:rsidR="004D7D45" w:rsidRDefault="004D7D45" w:rsidP="004D7D45">
      <w:pPr>
        <w:tabs>
          <w:tab w:val="left" w:pos="1950"/>
        </w:tabs>
        <w:spacing w:after="0"/>
        <w:ind w:left="360"/>
        <w:jc w:val="both"/>
      </w:pPr>
      <w:r>
        <w:t xml:space="preserve">Dana </w:t>
      </w:r>
      <w:r w:rsidR="009915EE">
        <w:t xml:space="preserve">19.12.2022.godine od strane „Inspekt RGH“ d.o.o. Sarajevo </w:t>
      </w:r>
      <w:r>
        <w:t>izvršeno je uzorkoanje vode iz jednog ispusta za tehnološku vodu u kanalizaciju. Tehnološke otpadne vode nastale tokom procesa proizvodnje suhozasićene vodene pare dijele se na:</w:t>
      </w:r>
    </w:p>
    <w:p w14:paraId="11995240" w14:textId="3BFD8B32" w:rsidR="004D7D45" w:rsidRDefault="004D7D45" w:rsidP="004D7D45">
      <w:pPr>
        <w:pStyle w:val="Odlomakpopisa"/>
        <w:numPr>
          <w:ilvl w:val="0"/>
          <w:numId w:val="3"/>
        </w:numPr>
        <w:tabs>
          <w:tab w:val="left" w:pos="1950"/>
        </w:tabs>
        <w:spacing w:after="0"/>
        <w:jc w:val="both"/>
      </w:pPr>
      <w:r>
        <w:t>Vode nastale kontinuiranim odsoljenjem i odmuljianjem kotlova zbog održanja alkalnog broja,</w:t>
      </w:r>
    </w:p>
    <w:p w14:paraId="71DC5971" w14:textId="2639139A" w:rsidR="004D7D45" w:rsidRDefault="004D7D45" w:rsidP="004D7D45">
      <w:pPr>
        <w:pStyle w:val="Odlomakpopisa"/>
        <w:numPr>
          <w:ilvl w:val="0"/>
          <w:numId w:val="3"/>
        </w:numPr>
        <w:tabs>
          <w:tab w:val="left" w:pos="1950"/>
        </w:tabs>
        <w:spacing w:after="0"/>
        <w:jc w:val="both"/>
      </w:pPr>
      <w:r>
        <w:t>KPV (kemijska priprma vode) – regeneracijske iono – izmjenjivačke mase NaCI,</w:t>
      </w:r>
    </w:p>
    <w:p w14:paraId="1E1D81A0" w14:textId="5AF49782" w:rsidR="004D7D45" w:rsidRDefault="004D7D45" w:rsidP="004D7D45">
      <w:pPr>
        <w:pStyle w:val="Odlomakpopisa"/>
        <w:numPr>
          <w:ilvl w:val="0"/>
          <w:numId w:val="3"/>
        </w:numPr>
        <w:tabs>
          <w:tab w:val="left" w:pos="1950"/>
        </w:tabs>
        <w:spacing w:after="0"/>
        <w:jc w:val="both"/>
      </w:pPr>
      <w:r>
        <w:t>Vode nastale hlađenjem šljake sirovom vodom u kadama odšljakivača,</w:t>
      </w:r>
    </w:p>
    <w:p w14:paraId="6AF176D3" w14:textId="0872AD3C" w:rsidR="004D7D45" w:rsidRDefault="004D7D45" w:rsidP="004D7D45">
      <w:pPr>
        <w:pStyle w:val="Odlomakpopisa"/>
        <w:numPr>
          <w:ilvl w:val="0"/>
          <w:numId w:val="3"/>
        </w:numPr>
        <w:tabs>
          <w:tab w:val="left" w:pos="1950"/>
        </w:tabs>
        <w:spacing w:after="0"/>
        <w:jc w:val="both"/>
      </w:pPr>
      <w:r>
        <w:t>Sirova voda sa hlađenja uzoraka kotlovske napojne vode.</w:t>
      </w:r>
    </w:p>
    <w:p w14:paraId="2B5F80EB" w14:textId="661DD88E" w:rsidR="008B6844" w:rsidRDefault="004D7D45" w:rsidP="00835460">
      <w:pPr>
        <w:pStyle w:val="Odlomakpopisa"/>
        <w:tabs>
          <w:tab w:val="left" w:pos="1950"/>
        </w:tabs>
        <w:spacing w:after="0"/>
        <w:jc w:val="both"/>
      </w:pPr>
      <w:r>
        <w:t>Topla vode u distributivnoj mreži je ome</w:t>
      </w:r>
      <w:r w:rsidR="008B6844">
        <w:t>k</w:t>
      </w:r>
      <w:r>
        <w:t>šana, ali zbog niskih gubitaka rijetko ju je potrebno nadupunjavati, tako da se i regeneracija vode rijetko provodi.</w:t>
      </w:r>
      <w:r w:rsidR="0035781C">
        <w:t xml:space="preserve"> Otpadne vode se prije ispuštanja u kanalizaciju pročišćavaju u dvokomornom taložniku zapremine 2 m3.</w:t>
      </w:r>
      <w:r w:rsidR="008B6844">
        <w:t xml:space="preserve"> Analizom rezultata ispitivanja tereta zagađanje otpadnih voda utvrđeno je da </w:t>
      </w:r>
      <w:r w:rsidR="005E13F5">
        <w:t xml:space="preserve">parametri otpadne vode </w:t>
      </w:r>
      <w:r w:rsidR="00756CD2" w:rsidRPr="00756CD2">
        <w:rPr>
          <w:u w:val="single"/>
        </w:rPr>
        <w:t>zadovoljavaju</w:t>
      </w:r>
      <w:r w:rsidR="005E13F5">
        <w:t xml:space="preserve"> granične vrijednosti emisija otpadnih voda navedene u Uredbi (Prilog 17, Tabela 1 i Tabela2)</w:t>
      </w:r>
      <w:r w:rsidR="008B6844">
        <w:t>.</w:t>
      </w:r>
    </w:p>
    <w:p w14:paraId="6327C8C3" w14:textId="77777777" w:rsidR="00FC2ABF" w:rsidRDefault="00FC2ABF" w:rsidP="00835460">
      <w:pPr>
        <w:pStyle w:val="Odlomakpopisa"/>
        <w:tabs>
          <w:tab w:val="left" w:pos="1950"/>
        </w:tabs>
        <w:spacing w:after="0"/>
        <w:jc w:val="both"/>
      </w:pPr>
    </w:p>
    <w:p w14:paraId="26F76E05" w14:textId="07316C15" w:rsidR="008B6844" w:rsidRDefault="008B6844" w:rsidP="008B6844">
      <w:pPr>
        <w:pStyle w:val="Odlomakpopisa"/>
        <w:numPr>
          <w:ilvl w:val="1"/>
          <w:numId w:val="3"/>
        </w:numPr>
        <w:tabs>
          <w:tab w:val="left" w:pos="1950"/>
        </w:tabs>
        <w:spacing w:after="0"/>
        <w:jc w:val="both"/>
        <w:rPr>
          <w:b/>
          <w:bCs/>
        </w:rPr>
      </w:pPr>
      <w:r w:rsidRPr="008B6844">
        <w:rPr>
          <w:b/>
          <w:bCs/>
        </w:rPr>
        <w:lastRenderedPageBreak/>
        <w:t>Emisija buke</w:t>
      </w:r>
    </w:p>
    <w:p w14:paraId="036F7D82" w14:textId="451E98E5" w:rsidR="008B6844" w:rsidRPr="007464CD" w:rsidRDefault="008B6844" w:rsidP="008B6844">
      <w:pPr>
        <w:tabs>
          <w:tab w:val="left" w:pos="1950"/>
        </w:tabs>
        <w:spacing w:after="0"/>
        <w:ind w:left="720"/>
        <w:jc w:val="both"/>
        <w:rPr>
          <w:color w:val="FF0000"/>
        </w:rPr>
      </w:pPr>
      <w:r>
        <w:t xml:space="preserve">Najveći dio buke koju proizvodi pogon Toplane Novi Travnik potiče od ventilatora primarnog zraka i odsisa dimnih gasova. Manji nivo buke emituju pogoni trakastih transportera za transport uglja i odvoz šljake i pepela. Ventilatori sekundarnog zraka i napojne pumpe se nalaze unutar kotlovnice, te samim time ne proizvode nivo buke u onom obimu kao prethodno pobrojani izvori buke. </w:t>
      </w:r>
    </w:p>
    <w:p w14:paraId="7E24498B" w14:textId="77777777" w:rsidR="007464CD" w:rsidRDefault="007464CD" w:rsidP="007464CD">
      <w:pPr>
        <w:spacing w:after="0"/>
        <w:ind w:firstLine="709"/>
        <w:rPr>
          <w:kern w:val="0"/>
          <w14:ligatures w14:val="none"/>
        </w:rPr>
      </w:pPr>
      <w:r w:rsidRPr="007464CD">
        <w:rPr>
          <w:kern w:val="0"/>
          <w14:ligatures w14:val="none"/>
        </w:rPr>
        <w:t xml:space="preserve">Na temelju Zakona o zaštiti od buke („Službene novine Federacije BiH“, broj: 110/12) </w:t>
      </w:r>
    </w:p>
    <w:p w14:paraId="0356EAF6" w14:textId="3551CB6F" w:rsidR="007464CD" w:rsidRDefault="007464CD" w:rsidP="00140FC7">
      <w:pPr>
        <w:spacing w:after="0"/>
        <w:ind w:firstLine="709"/>
        <w:rPr>
          <w:kern w:val="0"/>
          <w14:ligatures w14:val="none"/>
        </w:rPr>
      </w:pPr>
      <w:r w:rsidRPr="007464CD">
        <w:rPr>
          <w:kern w:val="0"/>
          <w14:ligatures w14:val="none"/>
        </w:rPr>
        <w:t>propisani su dozvoljeni nivoi vanjske buke u razlićitim zonama (područjima).</w:t>
      </w:r>
    </w:p>
    <w:p w14:paraId="217CC37E" w14:textId="3E44F87A" w:rsidR="007464CD" w:rsidRPr="007464CD" w:rsidRDefault="007464CD" w:rsidP="0012239D">
      <w:pPr>
        <w:ind w:firstLine="708"/>
        <w:rPr>
          <w:kern w:val="0"/>
          <w14:ligatures w14:val="none"/>
        </w:rPr>
      </w:pPr>
      <w:r w:rsidRPr="007464CD">
        <w:rPr>
          <w:kern w:val="0"/>
          <w14:ligatures w14:val="none"/>
        </w:rPr>
        <w:t>Tabela . Dozvoljeni nivoi vanjske buke u različitim zonama (područjima).</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3731"/>
        <w:gridCol w:w="853"/>
        <w:gridCol w:w="1102"/>
        <w:gridCol w:w="1974"/>
      </w:tblGrid>
      <w:tr w:rsidR="007464CD" w:rsidRPr="00FC2ABF" w14:paraId="0661CC6D" w14:textId="77777777" w:rsidTr="00FC2ABF">
        <w:trPr>
          <w:trHeight w:val="336"/>
        </w:trPr>
        <w:tc>
          <w:tcPr>
            <w:tcW w:w="878" w:type="dxa"/>
            <w:vMerge w:val="restart"/>
            <w:shd w:val="clear" w:color="auto" w:fill="D9E2F3" w:themeFill="accent1" w:themeFillTint="33"/>
          </w:tcPr>
          <w:p w14:paraId="4A646C8C" w14:textId="77777777" w:rsidR="007464CD" w:rsidRPr="00FC2ABF" w:rsidRDefault="007464CD" w:rsidP="007464CD">
            <w:pPr>
              <w:rPr>
                <w:rFonts w:ascii="Arial" w:hAnsi="Arial" w:cs="Arial"/>
                <w:b/>
                <w:bCs/>
                <w:kern w:val="0"/>
                <w:sz w:val="18"/>
                <w:szCs w:val="18"/>
                <w14:ligatures w14:val="none"/>
              </w:rPr>
            </w:pPr>
            <w:r w:rsidRPr="00FC2ABF">
              <w:rPr>
                <w:rFonts w:ascii="Arial" w:hAnsi="Arial" w:cs="Arial"/>
                <w:b/>
                <w:bCs/>
                <w:kern w:val="0"/>
                <w:sz w:val="18"/>
                <w:szCs w:val="18"/>
                <w14:ligatures w14:val="none"/>
              </w:rPr>
              <w:t>Područje (zona)</w:t>
            </w:r>
          </w:p>
        </w:tc>
        <w:tc>
          <w:tcPr>
            <w:tcW w:w="3790" w:type="dxa"/>
            <w:vMerge w:val="restart"/>
            <w:shd w:val="clear" w:color="auto" w:fill="D9E2F3" w:themeFill="accent1" w:themeFillTint="33"/>
          </w:tcPr>
          <w:p w14:paraId="09A52468" w14:textId="77777777" w:rsidR="007464CD" w:rsidRPr="00FC2ABF" w:rsidRDefault="007464CD" w:rsidP="007464CD">
            <w:pPr>
              <w:jc w:val="center"/>
              <w:rPr>
                <w:rFonts w:ascii="Arial" w:hAnsi="Arial" w:cs="Arial"/>
                <w:b/>
                <w:bCs/>
                <w:kern w:val="0"/>
                <w:sz w:val="18"/>
                <w:szCs w:val="18"/>
                <w14:ligatures w14:val="none"/>
              </w:rPr>
            </w:pPr>
          </w:p>
          <w:p w14:paraId="1F7272B0" w14:textId="77777777" w:rsidR="007464CD" w:rsidRPr="00FC2ABF" w:rsidRDefault="007464CD" w:rsidP="007464CD">
            <w:pPr>
              <w:jc w:val="center"/>
              <w:rPr>
                <w:rFonts w:ascii="Arial" w:hAnsi="Arial" w:cs="Arial"/>
                <w:b/>
                <w:bCs/>
                <w:kern w:val="0"/>
                <w:sz w:val="18"/>
                <w:szCs w:val="18"/>
                <w14:ligatures w14:val="none"/>
              </w:rPr>
            </w:pPr>
            <w:r w:rsidRPr="00FC2ABF">
              <w:rPr>
                <w:rFonts w:ascii="Arial" w:hAnsi="Arial" w:cs="Arial"/>
                <w:b/>
                <w:bCs/>
                <w:kern w:val="0"/>
                <w:sz w:val="18"/>
                <w:szCs w:val="18"/>
                <w14:ligatures w14:val="none"/>
              </w:rPr>
              <w:t>Namjena područja</w:t>
            </w:r>
          </w:p>
        </w:tc>
        <w:tc>
          <w:tcPr>
            <w:tcW w:w="3979" w:type="dxa"/>
            <w:gridSpan w:val="3"/>
            <w:shd w:val="clear" w:color="auto" w:fill="D9E2F3" w:themeFill="accent1" w:themeFillTint="33"/>
          </w:tcPr>
          <w:p w14:paraId="04A699AA" w14:textId="77777777" w:rsidR="007464CD" w:rsidRPr="00FC2ABF" w:rsidRDefault="007464CD" w:rsidP="007464CD">
            <w:pPr>
              <w:rPr>
                <w:rFonts w:ascii="Arial" w:hAnsi="Arial" w:cs="Arial"/>
                <w:b/>
                <w:bCs/>
                <w:kern w:val="0"/>
                <w:sz w:val="18"/>
                <w:szCs w:val="18"/>
                <w14:ligatures w14:val="none"/>
              </w:rPr>
            </w:pPr>
            <w:r w:rsidRPr="00FC2ABF">
              <w:rPr>
                <w:rFonts w:ascii="Arial" w:hAnsi="Arial" w:cs="Arial"/>
                <w:b/>
                <w:bCs/>
                <w:kern w:val="0"/>
                <w:sz w:val="18"/>
                <w:szCs w:val="18"/>
                <w14:ligatures w14:val="none"/>
              </w:rPr>
              <w:t>Najviši dozvoljeni nivo vanjske buke (Dba)</w:t>
            </w:r>
          </w:p>
        </w:tc>
      </w:tr>
      <w:tr w:rsidR="007464CD" w:rsidRPr="00FC2ABF" w14:paraId="35E2CBB8" w14:textId="77777777" w:rsidTr="00835460">
        <w:trPr>
          <w:trHeight w:val="314"/>
        </w:trPr>
        <w:tc>
          <w:tcPr>
            <w:tcW w:w="878" w:type="dxa"/>
            <w:vMerge/>
            <w:shd w:val="clear" w:color="auto" w:fill="D9E2F3" w:themeFill="accent1" w:themeFillTint="33"/>
          </w:tcPr>
          <w:p w14:paraId="70EC37E1" w14:textId="77777777" w:rsidR="007464CD" w:rsidRPr="00FC2ABF" w:rsidRDefault="007464CD" w:rsidP="007464CD">
            <w:pPr>
              <w:rPr>
                <w:rFonts w:ascii="Arial" w:hAnsi="Arial" w:cs="Arial"/>
                <w:b/>
                <w:bCs/>
                <w:kern w:val="0"/>
                <w:sz w:val="18"/>
                <w:szCs w:val="18"/>
                <w14:ligatures w14:val="none"/>
              </w:rPr>
            </w:pPr>
          </w:p>
        </w:tc>
        <w:tc>
          <w:tcPr>
            <w:tcW w:w="3790" w:type="dxa"/>
            <w:vMerge/>
            <w:shd w:val="clear" w:color="auto" w:fill="D9E2F3" w:themeFill="accent1" w:themeFillTint="33"/>
          </w:tcPr>
          <w:p w14:paraId="31289B1D" w14:textId="77777777" w:rsidR="007464CD" w:rsidRPr="00FC2ABF" w:rsidRDefault="007464CD" w:rsidP="007464CD">
            <w:pPr>
              <w:rPr>
                <w:rFonts w:ascii="Arial" w:hAnsi="Arial" w:cs="Arial"/>
                <w:b/>
                <w:bCs/>
                <w:kern w:val="0"/>
                <w:sz w:val="18"/>
                <w:szCs w:val="18"/>
                <w14:ligatures w14:val="none"/>
              </w:rPr>
            </w:pPr>
          </w:p>
        </w:tc>
        <w:tc>
          <w:tcPr>
            <w:tcW w:w="1975" w:type="dxa"/>
            <w:gridSpan w:val="2"/>
            <w:shd w:val="clear" w:color="auto" w:fill="D9E2F3" w:themeFill="accent1" w:themeFillTint="33"/>
          </w:tcPr>
          <w:p w14:paraId="7DD3826B" w14:textId="77777777" w:rsidR="007464CD" w:rsidRPr="00FC2ABF" w:rsidRDefault="007464CD" w:rsidP="007464CD">
            <w:pPr>
              <w:rPr>
                <w:rFonts w:ascii="Arial" w:hAnsi="Arial" w:cs="Arial"/>
                <w:b/>
                <w:bCs/>
                <w:kern w:val="0"/>
                <w:sz w:val="18"/>
                <w:szCs w:val="18"/>
                <w14:ligatures w14:val="none"/>
              </w:rPr>
            </w:pPr>
            <w:r w:rsidRPr="00FC2ABF">
              <w:rPr>
                <w:rFonts w:ascii="Arial" w:hAnsi="Arial" w:cs="Arial"/>
                <w:b/>
                <w:bCs/>
                <w:kern w:val="0"/>
                <w:sz w:val="18"/>
                <w:szCs w:val="18"/>
                <w14:ligatures w14:val="none"/>
              </w:rPr>
              <w:t>15 min Leq</w:t>
            </w:r>
          </w:p>
        </w:tc>
        <w:tc>
          <w:tcPr>
            <w:tcW w:w="2004" w:type="dxa"/>
            <w:shd w:val="clear" w:color="auto" w:fill="D9E2F3" w:themeFill="accent1" w:themeFillTint="33"/>
          </w:tcPr>
          <w:p w14:paraId="363F4FBD" w14:textId="77777777" w:rsidR="007464CD" w:rsidRPr="00FC2ABF" w:rsidRDefault="007464CD" w:rsidP="007464CD">
            <w:pPr>
              <w:rPr>
                <w:rFonts w:ascii="Arial" w:hAnsi="Arial" w:cs="Arial"/>
                <w:b/>
                <w:bCs/>
                <w:kern w:val="0"/>
                <w:sz w:val="18"/>
                <w:szCs w:val="18"/>
                <w14:ligatures w14:val="none"/>
              </w:rPr>
            </w:pPr>
            <w:r w:rsidRPr="00FC2ABF">
              <w:rPr>
                <w:rFonts w:ascii="Arial" w:hAnsi="Arial" w:cs="Arial"/>
                <w:b/>
                <w:bCs/>
                <w:kern w:val="0"/>
                <w:sz w:val="18"/>
                <w:szCs w:val="18"/>
                <w14:ligatures w14:val="none"/>
              </w:rPr>
              <w:t>Vršni nivo</w:t>
            </w:r>
          </w:p>
        </w:tc>
      </w:tr>
      <w:tr w:rsidR="007464CD" w:rsidRPr="00FC2ABF" w14:paraId="74AF92D6" w14:textId="77777777" w:rsidTr="00FC2ABF">
        <w:trPr>
          <w:trHeight w:val="192"/>
        </w:trPr>
        <w:tc>
          <w:tcPr>
            <w:tcW w:w="878" w:type="dxa"/>
            <w:vMerge/>
            <w:shd w:val="clear" w:color="auto" w:fill="D9E2F3" w:themeFill="accent1" w:themeFillTint="33"/>
          </w:tcPr>
          <w:p w14:paraId="58AE2550" w14:textId="77777777" w:rsidR="007464CD" w:rsidRPr="00FC2ABF" w:rsidRDefault="007464CD" w:rsidP="007464CD">
            <w:pPr>
              <w:rPr>
                <w:rFonts w:ascii="Arial" w:hAnsi="Arial" w:cs="Arial"/>
                <w:b/>
                <w:bCs/>
                <w:kern w:val="0"/>
                <w:sz w:val="18"/>
                <w:szCs w:val="18"/>
                <w14:ligatures w14:val="none"/>
              </w:rPr>
            </w:pPr>
          </w:p>
        </w:tc>
        <w:tc>
          <w:tcPr>
            <w:tcW w:w="3790" w:type="dxa"/>
            <w:vMerge/>
            <w:shd w:val="clear" w:color="auto" w:fill="D9E2F3" w:themeFill="accent1" w:themeFillTint="33"/>
          </w:tcPr>
          <w:p w14:paraId="2BDA553E" w14:textId="77777777" w:rsidR="007464CD" w:rsidRPr="00FC2ABF" w:rsidRDefault="007464CD" w:rsidP="007464CD">
            <w:pPr>
              <w:rPr>
                <w:rFonts w:ascii="Arial" w:hAnsi="Arial" w:cs="Arial"/>
                <w:b/>
                <w:bCs/>
                <w:kern w:val="0"/>
                <w:sz w:val="18"/>
                <w:szCs w:val="18"/>
                <w14:ligatures w14:val="none"/>
              </w:rPr>
            </w:pPr>
          </w:p>
        </w:tc>
        <w:tc>
          <w:tcPr>
            <w:tcW w:w="860" w:type="dxa"/>
            <w:shd w:val="clear" w:color="auto" w:fill="D9E2F3" w:themeFill="accent1" w:themeFillTint="33"/>
          </w:tcPr>
          <w:p w14:paraId="7204E391" w14:textId="77777777" w:rsidR="007464CD" w:rsidRPr="00FC2ABF" w:rsidRDefault="007464CD" w:rsidP="007464CD">
            <w:pPr>
              <w:rPr>
                <w:rFonts w:ascii="Arial" w:hAnsi="Arial" w:cs="Arial"/>
                <w:b/>
                <w:bCs/>
                <w:kern w:val="0"/>
                <w:sz w:val="18"/>
                <w:szCs w:val="18"/>
                <w14:ligatures w14:val="none"/>
              </w:rPr>
            </w:pPr>
            <w:r w:rsidRPr="00FC2ABF">
              <w:rPr>
                <w:rFonts w:ascii="Arial" w:hAnsi="Arial" w:cs="Arial"/>
                <w:b/>
                <w:bCs/>
                <w:kern w:val="0"/>
                <w:sz w:val="18"/>
                <w:szCs w:val="18"/>
                <w14:ligatures w14:val="none"/>
              </w:rPr>
              <w:t>Dan</w:t>
            </w:r>
          </w:p>
        </w:tc>
        <w:tc>
          <w:tcPr>
            <w:tcW w:w="1115" w:type="dxa"/>
            <w:shd w:val="clear" w:color="auto" w:fill="D9E2F3" w:themeFill="accent1" w:themeFillTint="33"/>
          </w:tcPr>
          <w:p w14:paraId="409B2CC9" w14:textId="77777777" w:rsidR="007464CD" w:rsidRPr="00FC2ABF" w:rsidRDefault="007464CD" w:rsidP="007464CD">
            <w:pPr>
              <w:rPr>
                <w:rFonts w:ascii="Arial" w:hAnsi="Arial" w:cs="Arial"/>
                <w:b/>
                <w:bCs/>
                <w:kern w:val="0"/>
                <w:sz w:val="18"/>
                <w:szCs w:val="18"/>
                <w14:ligatures w14:val="none"/>
              </w:rPr>
            </w:pPr>
            <w:r w:rsidRPr="00FC2ABF">
              <w:rPr>
                <w:rFonts w:ascii="Arial" w:hAnsi="Arial" w:cs="Arial"/>
                <w:b/>
                <w:bCs/>
                <w:kern w:val="0"/>
                <w:sz w:val="18"/>
                <w:szCs w:val="18"/>
                <w14:ligatures w14:val="none"/>
              </w:rPr>
              <w:t>Noć</w:t>
            </w:r>
          </w:p>
        </w:tc>
        <w:tc>
          <w:tcPr>
            <w:tcW w:w="2004" w:type="dxa"/>
            <w:shd w:val="clear" w:color="auto" w:fill="D9E2F3" w:themeFill="accent1" w:themeFillTint="33"/>
          </w:tcPr>
          <w:p w14:paraId="1C11DF48" w14:textId="77777777" w:rsidR="007464CD" w:rsidRPr="00FC2ABF" w:rsidRDefault="007464CD" w:rsidP="007464CD">
            <w:pPr>
              <w:rPr>
                <w:rFonts w:ascii="Arial" w:hAnsi="Arial" w:cs="Arial"/>
                <w:b/>
                <w:bCs/>
                <w:kern w:val="0"/>
                <w:sz w:val="18"/>
                <w:szCs w:val="18"/>
                <w14:ligatures w14:val="none"/>
              </w:rPr>
            </w:pPr>
            <w:r w:rsidRPr="00FC2ABF">
              <w:rPr>
                <w:rFonts w:ascii="Arial" w:hAnsi="Arial" w:cs="Arial"/>
                <w:b/>
                <w:bCs/>
                <w:kern w:val="0"/>
                <w:sz w:val="18"/>
                <w:szCs w:val="18"/>
                <w14:ligatures w14:val="none"/>
              </w:rPr>
              <w:t>L1</w:t>
            </w:r>
          </w:p>
        </w:tc>
      </w:tr>
      <w:tr w:rsidR="007464CD" w:rsidRPr="00FC2ABF" w14:paraId="70FA54D6" w14:textId="77777777" w:rsidTr="00835460">
        <w:trPr>
          <w:trHeight w:val="538"/>
        </w:trPr>
        <w:tc>
          <w:tcPr>
            <w:tcW w:w="878" w:type="dxa"/>
          </w:tcPr>
          <w:p w14:paraId="0EA1191A" w14:textId="4A3D4588" w:rsidR="007464CD" w:rsidRPr="00FC2ABF" w:rsidRDefault="007464CD" w:rsidP="007464CD">
            <w:pPr>
              <w:rPr>
                <w:rFonts w:ascii="Arial" w:hAnsi="Arial" w:cs="Arial"/>
                <w:b/>
                <w:bCs/>
                <w:kern w:val="0"/>
                <w:sz w:val="18"/>
                <w:szCs w:val="18"/>
                <w14:ligatures w14:val="none"/>
              </w:rPr>
            </w:pPr>
            <w:r w:rsidRPr="00FC2ABF">
              <w:rPr>
                <w:rFonts w:ascii="Arial" w:hAnsi="Arial" w:cs="Arial"/>
                <w:b/>
                <w:bCs/>
                <w:kern w:val="0"/>
                <w:sz w:val="18"/>
                <w:szCs w:val="18"/>
                <w14:ligatures w14:val="none"/>
              </w:rPr>
              <w:t>VI</w:t>
            </w:r>
          </w:p>
        </w:tc>
        <w:tc>
          <w:tcPr>
            <w:tcW w:w="3790" w:type="dxa"/>
          </w:tcPr>
          <w:p w14:paraId="554CA993" w14:textId="6D63A237" w:rsidR="007464CD" w:rsidRPr="00FC2ABF" w:rsidRDefault="007464CD" w:rsidP="007464CD">
            <w:pPr>
              <w:rPr>
                <w:rFonts w:ascii="Arial" w:hAnsi="Arial" w:cs="Arial"/>
                <w:kern w:val="0"/>
                <w:sz w:val="18"/>
                <w:szCs w:val="18"/>
                <w14:ligatures w14:val="none"/>
              </w:rPr>
            </w:pPr>
            <w:r w:rsidRPr="00FC2ABF">
              <w:rPr>
                <w:rFonts w:ascii="Arial" w:hAnsi="Arial" w:cs="Arial"/>
                <w:kern w:val="0"/>
                <w:sz w:val="18"/>
                <w:szCs w:val="18"/>
                <w14:ligatures w14:val="none"/>
              </w:rPr>
              <w:t>Industrijska, skladišna, servisna i prometno područje bez stanovanja</w:t>
            </w:r>
          </w:p>
        </w:tc>
        <w:tc>
          <w:tcPr>
            <w:tcW w:w="860" w:type="dxa"/>
          </w:tcPr>
          <w:p w14:paraId="79124FE7" w14:textId="398E98FF" w:rsidR="007464CD" w:rsidRPr="00FC2ABF" w:rsidRDefault="007464CD" w:rsidP="007464CD">
            <w:pPr>
              <w:rPr>
                <w:rFonts w:ascii="Arial" w:hAnsi="Arial" w:cs="Arial"/>
                <w:kern w:val="0"/>
                <w:sz w:val="18"/>
                <w:szCs w:val="18"/>
                <w14:ligatures w14:val="none"/>
              </w:rPr>
            </w:pPr>
            <w:r w:rsidRPr="00FC2ABF">
              <w:rPr>
                <w:rFonts w:ascii="Arial" w:hAnsi="Arial" w:cs="Arial"/>
                <w:kern w:val="0"/>
                <w:sz w:val="18"/>
                <w:szCs w:val="18"/>
                <w14:ligatures w14:val="none"/>
              </w:rPr>
              <w:t>70</w:t>
            </w:r>
          </w:p>
        </w:tc>
        <w:tc>
          <w:tcPr>
            <w:tcW w:w="1115" w:type="dxa"/>
          </w:tcPr>
          <w:p w14:paraId="4E905983" w14:textId="6EB25394" w:rsidR="007464CD" w:rsidRPr="00FC2ABF" w:rsidRDefault="007464CD" w:rsidP="007464CD">
            <w:pPr>
              <w:rPr>
                <w:rFonts w:ascii="Arial" w:hAnsi="Arial" w:cs="Arial"/>
                <w:kern w:val="0"/>
                <w:sz w:val="18"/>
                <w:szCs w:val="18"/>
                <w14:ligatures w14:val="none"/>
              </w:rPr>
            </w:pPr>
            <w:r w:rsidRPr="00FC2ABF">
              <w:rPr>
                <w:rFonts w:ascii="Arial" w:hAnsi="Arial" w:cs="Arial"/>
                <w:kern w:val="0"/>
                <w:sz w:val="18"/>
                <w:szCs w:val="18"/>
                <w14:ligatures w14:val="none"/>
              </w:rPr>
              <w:t>70</w:t>
            </w:r>
          </w:p>
        </w:tc>
        <w:tc>
          <w:tcPr>
            <w:tcW w:w="2004" w:type="dxa"/>
          </w:tcPr>
          <w:p w14:paraId="12C6D587" w14:textId="352715D1" w:rsidR="007464CD" w:rsidRPr="00FC2ABF" w:rsidRDefault="007464CD" w:rsidP="007464CD">
            <w:pPr>
              <w:rPr>
                <w:rFonts w:ascii="Arial" w:hAnsi="Arial" w:cs="Arial"/>
                <w:kern w:val="0"/>
                <w:sz w:val="18"/>
                <w:szCs w:val="18"/>
                <w14:ligatures w14:val="none"/>
              </w:rPr>
            </w:pPr>
            <w:r w:rsidRPr="00FC2ABF">
              <w:rPr>
                <w:rFonts w:ascii="Arial" w:hAnsi="Arial" w:cs="Arial"/>
                <w:kern w:val="0"/>
                <w:sz w:val="18"/>
                <w:szCs w:val="18"/>
                <w14:ligatures w14:val="none"/>
              </w:rPr>
              <w:t>85</w:t>
            </w:r>
          </w:p>
        </w:tc>
      </w:tr>
    </w:tbl>
    <w:p w14:paraId="4E9589CE" w14:textId="77777777" w:rsidR="007464CD" w:rsidRPr="007464CD" w:rsidRDefault="007464CD" w:rsidP="007464CD">
      <w:pPr>
        <w:rPr>
          <w:kern w:val="0"/>
          <w14:ligatures w14:val="none"/>
        </w:rPr>
      </w:pPr>
    </w:p>
    <w:p w14:paraId="3E3AEB94" w14:textId="7C8FD7AC" w:rsidR="0012239D" w:rsidRPr="00140FC7" w:rsidRDefault="007464CD" w:rsidP="00140FC7">
      <w:pPr>
        <w:rPr>
          <w:kern w:val="0"/>
          <w14:ligatures w14:val="none"/>
        </w:rPr>
      </w:pPr>
      <w:r w:rsidRPr="007464CD">
        <w:rPr>
          <w:kern w:val="0"/>
          <w14:ligatures w14:val="none"/>
        </w:rPr>
        <w:t>Po odredbama ovog Zakona dan je od 06,00 do 22,00, a noć od 22,00 do 6,00 sati.</w:t>
      </w:r>
    </w:p>
    <w:p w14:paraId="524BA040" w14:textId="47082E33" w:rsidR="004C4708" w:rsidRPr="003825DC" w:rsidRDefault="004C4708" w:rsidP="004C4708">
      <w:pPr>
        <w:tabs>
          <w:tab w:val="left" w:pos="1950"/>
        </w:tabs>
        <w:spacing w:after="0"/>
        <w:jc w:val="both"/>
        <w:rPr>
          <w:b/>
          <w:bCs/>
        </w:rPr>
      </w:pPr>
      <w:r w:rsidRPr="003825DC">
        <w:rPr>
          <w:b/>
          <w:bCs/>
        </w:rPr>
        <w:t xml:space="preserve">                4.4. Otpad</w:t>
      </w:r>
    </w:p>
    <w:p w14:paraId="0A1B4334" w14:textId="208E1EC5" w:rsidR="006B3697" w:rsidRDefault="004C4708" w:rsidP="004C4708">
      <w:pPr>
        <w:tabs>
          <w:tab w:val="left" w:pos="1950"/>
        </w:tabs>
        <w:spacing w:after="0"/>
        <w:jc w:val="both"/>
      </w:pPr>
      <w:r>
        <w:t xml:space="preserve">                Tabela 4.4 Količina otpada koja nastaje u „UNIS-Energetici“ Novi Travnik u toku jedne godine</w:t>
      </w:r>
    </w:p>
    <w:p w14:paraId="1F70AE50" w14:textId="77777777" w:rsidR="00C47275" w:rsidRDefault="00C47275" w:rsidP="004C4708">
      <w:pPr>
        <w:tabs>
          <w:tab w:val="left" w:pos="1950"/>
        </w:tabs>
        <w:spacing w:after="0"/>
        <w:jc w:val="both"/>
      </w:pP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317"/>
        <w:gridCol w:w="1794"/>
        <w:gridCol w:w="2268"/>
      </w:tblGrid>
      <w:tr w:rsidR="003825DC" w:rsidRPr="00FC2ABF" w14:paraId="7F992258" w14:textId="77777777" w:rsidTr="00FC2ABF">
        <w:trPr>
          <w:trHeight w:hRule="exact" w:val="808"/>
        </w:trPr>
        <w:tc>
          <w:tcPr>
            <w:tcW w:w="241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84" w:type="dxa"/>
              <w:right w:w="330" w:type="dxa"/>
            </w:tcMar>
          </w:tcPr>
          <w:p w14:paraId="40BAA33E" w14:textId="77777777" w:rsidR="003825DC" w:rsidRPr="00FC2ABF" w:rsidRDefault="003825DC" w:rsidP="002B718F">
            <w:pPr>
              <w:spacing w:before="1" w:line="269" w:lineRule="atLeast"/>
              <w:jc w:val="both"/>
              <w:rPr>
                <w:rFonts w:ascii="Arial" w:eastAsia="Calibri" w:hAnsi="Arial" w:cs="Arial"/>
                <w:b/>
                <w:bCs/>
                <w:sz w:val="18"/>
                <w:szCs w:val="18"/>
              </w:rPr>
            </w:pPr>
            <w:r w:rsidRPr="00FC2ABF">
              <w:rPr>
                <w:rFonts w:ascii="Arial" w:eastAsia="Calibri" w:hAnsi="Arial" w:cs="Arial"/>
                <w:b/>
                <w:bCs/>
                <w:color w:val="000000"/>
                <w:sz w:val="18"/>
                <w:szCs w:val="18"/>
                <w:shd w:val="clear" w:color="auto" w:fill="E2EFD9"/>
                <w:lang w:bidi="bs-Latn-BA"/>
              </w:rPr>
              <w:t>Naziv</w:t>
            </w:r>
            <w:r w:rsidRPr="00FC2ABF">
              <w:rPr>
                <w:rFonts w:ascii="Arial" w:eastAsia="Calibri" w:hAnsi="Arial" w:cs="Arial"/>
                <w:b/>
                <w:bCs/>
                <w:color w:val="000000"/>
                <w:sz w:val="18"/>
                <w:szCs w:val="18"/>
                <w:shd w:val="clear" w:color="auto" w:fill="E2EFD9"/>
              </w:rPr>
              <w:t xml:space="preserve"> </w:t>
            </w:r>
            <w:r w:rsidRPr="00FC2ABF">
              <w:rPr>
                <w:rFonts w:ascii="Arial" w:eastAsia="Calibri" w:hAnsi="Arial" w:cs="Arial"/>
                <w:b/>
                <w:bCs/>
                <w:color w:val="000000"/>
                <w:sz w:val="18"/>
                <w:szCs w:val="18"/>
                <w:shd w:val="clear" w:color="auto" w:fill="E2EFD9"/>
                <w:lang w:bidi="bs-Latn-BA"/>
              </w:rPr>
              <w:t>i</w:t>
            </w:r>
            <w:r w:rsidRPr="00FC2ABF">
              <w:rPr>
                <w:rFonts w:ascii="Arial" w:eastAsia="Calibri" w:hAnsi="Arial" w:cs="Arial"/>
                <w:b/>
                <w:bCs/>
                <w:color w:val="000000"/>
                <w:sz w:val="18"/>
                <w:szCs w:val="18"/>
                <w:shd w:val="clear" w:color="auto" w:fill="E2EFD9"/>
              </w:rPr>
              <w:t xml:space="preserve"> </w:t>
            </w:r>
            <w:r w:rsidRPr="00FC2ABF">
              <w:rPr>
                <w:rFonts w:ascii="Arial" w:eastAsia="Calibri" w:hAnsi="Arial" w:cs="Arial"/>
                <w:b/>
                <w:bCs/>
                <w:color w:val="000000"/>
                <w:sz w:val="18"/>
                <w:szCs w:val="18"/>
                <w:shd w:val="clear" w:color="auto" w:fill="E2EFD9"/>
                <w:lang w:bidi="bs-Latn-BA"/>
              </w:rPr>
              <w:t>broj</w:t>
            </w:r>
            <w:r w:rsidRPr="00FC2ABF">
              <w:rPr>
                <w:rFonts w:ascii="Arial" w:eastAsia="Calibri" w:hAnsi="Arial" w:cs="Arial"/>
                <w:b/>
                <w:bCs/>
                <w:color w:val="000000"/>
                <w:sz w:val="18"/>
                <w:szCs w:val="18"/>
                <w:shd w:val="clear" w:color="auto" w:fill="E2EFD9"/>
              </w:rPr>
              <w:t xml:space="preserve"> </w:t>
            </w:r>
            <w:r w:rsidRPr="00FC2ABF">
              <w:rPr>
                <w:rFonts w:ascii="Arial" w:eastAsia="Calibri" w:hAnsi="Arial" w:cs="Arial"/>
                <w:b/>
                <w:bCs/>
                <w:color w:val="000000"/>
                <w:sz w:val="18"/>
                <w:szCs w:val="18"/>
                <w:shd w:val="clear" w:color="auto" w:fill="E2EFD9"/>
                <w:lang w:bidi="bs-Latn-BA"/>
              </w:rPr>
              <w:t>otpada</w:t>
            </w:r>
          </w:p>
        </w:tc>
        <w:tc>
          <w:tcPr>
            <w:tcW w:w="2317"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797" w:type="dxa"/>
              <w:right w:w="640" w:type="dxa"/>
            </w:tcMar>
          </w:tcPr>
          <w:p w14:paraId="53156B19" w14:textId="350FBCF1" w:rsidR="003825DC" w:rsidRPr="00FC2ABF" w:rsidRDefault="003825DC" w:rsidP="002B718F">
            <w:pPr>
              <w:spacing w:before="1" w:line="269" w:lineRule="atLeast"/>
              <w:jc w:val="both"/>
              <w:rPr>
                <w:rFonts w:ascii="Arial" w:eastAsia="Calibri" w:hAnsi="Arial" w:cs="Arial"/>
                <w:b/>
                <w:bCs/>
                <w:sz w:val="18"/>
                <w:szCs w:val="18"/>
              </w:rPr>
            </w:pPr>
            <w:r w:rsidRPr="00FC2ABF">
              <w:rPr>
                <w:rFonts w:ascii="Arial" w:eastAsia="Calibri" w:hAnsi="Arial" w:cs="Arial"/>
                <w:b/>
                <w:bCs/>
                <w:color w:val="000000"/>
                <w:sz w:val="18"/>
                <w:szCs w:val="18"/>
                <w:shd w:val="clear" w:color="auto" w:fill="E2EFD9"/>
                <w:lang w:bidi="bs-Latn-BA"/>
              </w:rPr>
              <w:t>Opis</w:t>
            </w:r>
            <w:r w:rsidR="00FC2ABF">
              <w:rPr>
                <w:rFonts w:ascii="Arial" w:eastAsia="Calibri" w:hAnsi="Arial" w:cs="Arial"/>
                <w:b/>
                <w:bCs/>
                <w:color w:val="000000"/>
                <w:sz w:val="18"/>
                <w:szCs w:val="18"/>
                <w:shd w:val="clear" w:color="auto" w:fill="E2EFD9"/>
              </w:rPr>
              <w:t xml:space="preserve"> </w:t>
            </w:r>
            <w:r w:rsidRPr="00FC2ABF">
              <w:rPr>
                <w:rFonts w:ascii="Arial" w:eastAsia="Calibri" w:hAnsi="Arial" w:cs="Arial"/>
                <w:b/>
                <w:bCs/>
                <w:color w:val="000000"/>
                <w:sz w:val="18"/>
                <w:szCs w:val="18"/>
                <w:shd w:val="clear" w:color="auto" w:fill="E2EFD9"/>
                <w:lang w:bidi="bs-Latn-BA"/>
              </w:rPr>
              <w:t>otpada</w:t>
            </w:r>
          </w:p>
        </w:tc>
        <w:tc>
          <w:tcPr>
            <w:tcW w:w="179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223" w:type="dxa"/>
              <w:right w:w="16" w:type="dxa"/>
            </w:tcMar>
            <w:vAlign w:val="center"/>
          </w:tcPr>
          <w:p w14:paraId="77BA754C" w14:textId="77777777" w:rsidR="003825DC" w:rsidRPr="00FC2ABF" w:rsidRDefault="003825DC" w:rsidP="002B718F">
            <w:pPr>
              <w:spacing w:before="1" w:line="268" w:lineRule="atLeast"/>
              <w:jc w:val="center"/>
              <w:rPr>
                <w:rFonts w:ascii="Arial" w:eastAsia="Calibri" w:hAnsi="Arial" w:cs="Arial"/>
                <w:b/>
                <w:bCs/>
                <w:sz w:val="18"/>
                <w:szCs w:val="18"/>
                <w:lang w:val="sv-SE"/>
              </w:rPr>
            </w:pPr>
            <w:r w:rsidRPr="00FC2ABF">
              <w:rPr>
                <w:rFonts w:ascii="Arial" w:eastAsia="Calibri" w:hAnsi="Arial" w:cs="Arial"/>
                <w:b/>
                <w:bCs/>
                <w:color w:val="000000"/>
                <w:sz w:val="18"/>
                <w:szCs w:val="18"/>
                <w:shd w:val="clear" w:color="auto" w:fill="E2EFD9"/>
                <w:lang w:val="sv-SE" w:bidi="bs-Latn-BA"/>
              </w:rPr>
              <w:t>Godišnja</w:t>
            </w:r>
            <w:r w:rsidRPr="00FC2ABF">
              <w:rPr>
                <w:rFonts w:ascii="Arial" w:eastAsia="Calibri" w:hAnsi="Arial" w:cs="Arial"/>
                <w:b/>
                <w:bCs/>
                <w:color w:val="000000"/>
                <w:sz w:val="18"/>
                <w:szCs w:val="18"/>
                <w:shd w:val="clear" w:color="auto" w:fill="E2EFD9"/>
                <w:lang w:val="sv-SE"/>
              </w:rPr>
              <w:t xml:space="preserve"> </w:t>
            </w:r>
            <w:r w:rsidRPr="00FC2ABF">
              <w:rPr>
                <w:rFonts w:ascii="Arial" w:eastAsia="Calibri" w:hAnsi="Arial" w:cs="Arial"/>
                <w:b/>
                <w:bCs/>
                <w:color w:val="000000"/>
                <w:sz w:val="18"/>
                <w:szCs w:val="18"/>
                <w:shd w:val="clear" w:color="auto" w:fill="E2EFD9"/>
                <w:lang w:val="sv-SE" w:bidi="bs-Latn-BA"/>
              </w:rPr>
              <w:t>količina</w:t>
            </w:r>
            <w:r w:rsidRPr="00FC2ABF">
              <w:rPr>
                <w:rFonts w:ascii="Arial" w:eastAsia="Calibri" w:hAnsi="Arial" w:cs="Arial"/>
                <w:b/>
                <w:bCs/>
                <w:color w:val="000000"/>
                <w:sz w:val="18"/>
                <w:szCs w:val="18"/>
                <w:shd w:val="clear" w:color="auto" w:fill="E2EFD9"/>
                <w:lang w:val="sv-SE"/>
              </w:rPr>
              <w:t xml:space="preserve"> </w:t>
            </w:r>
            <w:r w:rsidRPr="00FC2ABF">
              <w:rPr>
                <w:rFonts w:ascii="Arial" w:eastAsia="Calibri" w:hAnsi="Arial" w:cs="Arial"/>
                <w:b/>
                <w:bCs/>
                <w:color w:val="000000"/>
                <w:sz w:val="18"/>
                <w:szCs w:val="18"/>
                <w:shd w:val="clear" w:color="auto" w:fill="E2EFD9"/>
                <w:lang w:val="sv-SE" w:bidi="bs-Latn-BA"/>
              </w:rPr>
              <w:t>proizvedenog</w:t>
            </w:r>
            <w:r w:rsidRPr="00FC2ABF">
              <w:rPr>
                <w:rFonts w:ascii="Arial" w:eastAsia="Calibri" w:hAnsi="Arial" w:cs="Arial"/>
                <w:b/>
                <w:bCs/>
                <w:color w:val="000000"/>
                <w:sz w:val="18"/>
                <w:szCs w:val="18"/>
                <w:shd w:val="clear" w:color="auto" w:fill="E2EFD9"/>
                <w:lang w:val="sv-SE"/>
              </w:rPr>
              <w:t xml:space="preserve"> </w:t>
            </w:r>
            <w:r w:rsidRPr="00FC2ABF">
              <w:rPr>
                <w:rFonts w:ascii="Arial" w:eastAsia="Calibri" w:hAnsi="Arial" w:cs="Arial"/>
                <w:b/>
                <w:bCs/>
                <w:color w:val="000000"/>
                <w:sz w:val="18"/>
                <w:szCs w:val="18"/>
                <w:shd w:val="clear" w:color="auto" w:fill="E2EFD9"/>
                <w:lang w:val="sv-SE" w:bidi="bs-Latn-BA"/>
              </w:rPr>
              <w:t>otpada</w:t>
            </w:r>
            <w:r w:rsidRPr="00FC2ABF">
              <w:rPr>
                <w:rFonts w:ascii="Arial" w:eastAsia="Calibri" w:hAnsi="Arial" w:cs="Arial"/>
                <w:b/>
                <w:bCs/>
                <w:color w:val="000000"/>
                <w:sz w:val="18"/>
                <w:szCs w:val="18"/>
                <w:shd w:val="clear" w:color="auto" w:fill="E2EFD9"/>
                <w:lang w:val="sv-SE"/>
              </w:rPr>
              <w:t xml:space="preserve"> </w:t>
            </w:r>
            <w:r w:rsidRPr="00FC2ABF">
              <w:rPr>
                <w:rFonts w:ascii="Arial" w:eastAsia="Calibri" w:hAnsi="Arial" w:cs="Arial"/>
                <w:b/>
                <w:bCs/>
                <w:color w:val="000000"/>
                <w:sz w:val="18"/>
                <w:szCs w:val="18"/>
                <w:shd w:val="clear" w:color="auto" w:fill="E2EFD9"/>
                <w:lang w:val="sv-SE" w:bidi="bs-Latn-BA"/>
              </w:rPr>
              <w:t>(t)</w:t>
            </w:r>
          </w:p>
        </w:tc>
        <w:tc>
          <w:tcPr>
            <w:tcW w:w="22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163" w:type="dxa"/>
              <w:right w:w="0" w:type="dxa"/>
            </w:tcMar>
            <w:vAlign w:val="center"/>
          </w:tcPr>
          <w:p w14:paraId="4732CEEF" w14:textId="77777777" w:rsidR="003825DC" w:rsidRPr="00FC2ABF" w:rsidRDefault="003825DC" w:rsidP="002B718F">
            <w:pPr>
              <w:spacing w:before="1" w:line="268" w:lineRule="atLeast"/>
              <w:jc w:val="center"/>
              <w:rPr>
                <w:rFonts w:ascii="Arial" w:eastAsia="Calibri" w:hAnsi="Arial" w:cs="Arial"/>
                <w:b/>
                <w:bCs/>
                <w:sz w:val="18"/>
                <w:szCs w:val="18"/>
                <w:lang w:val="sv-SE"/>
                <w14:textOutline w14:w="9525" w14:cap="rnd" w14:cmpd="sng" w14:algn="ctr">
                  <w14:solidFill>
                    <w14:srgbClr w14:val="000000"/>
                  </w14:solidFill>
                  <w14:prstDash w14:val="solid"/>
                  <w14:bevel/>
                </w14:textOutline>
              </w:rPr>
            </w:pPr>
            <w:r w:rsidRPr="00FC2ABF">
              <w:rPr>
                <w:rFonts w:ascii="Arial" w:eastAsia="Calibri" w:hAnsi="Arial" w:cs="Arial"/>
                <w:b/>
                <w:bCs/>
                <w:color w:val="000000"/>
                <w:sz w:val="18"/>
                <w:szCs w:val="18"/>
                <w:shd w:val="clear" w:color="auto" w:fill="E2EFD9"/>
                <w:lang w:val="sv-SE" w:bidi="bs-Latn-BA"/>
              </w:rPr>
              <w:t>Godišnja</w:t>
            </w:r>
            <w:r w:rsidRPr="00FC2ABF">
              <w:rPr>
                <w:rFonts w:ascii="Arial" w:eastAsia="Calibri" w:hAnsi="Arial" w:cs="Arial"/>
                <w:b/>
                <w:bCs/>
                <w:color w:val="000000"/>
                <w:sz w:val="18"/>
                <w:szCs w:val="18"/>
                <w:shd w:val="clear" w:color="auto" w:fill="E2EFD9"/>
                <w:lang w:val="sv-SE"/>
              </w:rPr>
              <w:t xml:space="preserve"> </w:t>
            </w:r>
            <w:r w:rsidRPr="00FC2ABF">
              <w:rPr>
                <w:rFonts w:ascii="Arial" w:eastAsia="Calibri" w:hAnsi="Arial" w:cs="Arial"/>
                <w:b/>
                <w:bCs/>
                <w:color w:val="000000"/>
                <w:sz w:val="18"/>
                <w:szCs w:val="18"/>
                <w:shd w:val="clear" w:color="auto" w:fill="E2EFD9"/>
                <w:lang w:val="sv-SE" w:bidi="bs-Latn-BA"/>
              </w:rPr>
              <w:t>količina</w:t>
            </w:r>
            <w:r w:rsidRPr="00FC2ABF">
              <w:rPr>
                <w:rFonts w:ascii="Arial" w:eastAsia="Calibri" w:hAnsi="Arial" w:cs="Arial"/>
                <w:b/>
                <w:bCs/>
                <w:color w:val="000000"/>
                <w:sz w:val="18"/>
                <w:szCs w:val="18"/>
                <w:shd w:val="clear" w:color="auto" w:fill="E2EFD9"/>
                <w:lang w:val="sv-SE"/>
              </w:rPr>
              <w:t xml:space="preserve"> </w:t>
            </w:r>
            <w:r w:rsidRPr="00FC2ABF">
              <w:rPr>
                <w:rFonts w:ascii="Arial" w:eastAsia="Calibri" w:hAnsi="Arial" w:cs="Arial"/>
                <w:b/>
                <w:bCs/>
                <w:color w:val="000000"/>
                <w:sz w:val="18"/>
                <w:szCs w:val="18"/>
                <w:shd w:val="clear" w:color="auto" w:fill="E2EFD9"/>
                <w:lang w:val="sv-SE" w:bidi="bs-Latn-BA"/>
              </w:rPr>
              <w:t>obrađenog</w:t>
            </w:r>
            <w:r w:rsidRPr="00FC2ABF">
              <w:rPr>
                <w:rFonts w:ascii="Arial" w:eastAsia="Calibri" w:hAnsi="Arial" w:cs="Arial"/>
                <w:b/>
                <w:bCs/>
                <w:color w:val="000000"/>
                <w:sz w:val="18"/>
                <w:szCs w:val="18"/>
                <w:shd w:val="clear" w:color="auto" w:fill="E2EFD9"/>
                <w:lang w:val="sv-SE"/>
              </w:rPr>
              <w:t xml:space="preserve"> </w:t>
            </w:r>
            <w:r w:rsidRPr="00FC2ABF">
              <w:rPr>
                <w:rFonts w:ascii="Arial" w:eastAsia="Calibri" w:hAnsi="Arial" w:cs="Arial"/>
                <w:b/>
                <w:bCs/>
                <w:color w:val="000000"/>
                <w:sz w:val="18"/>
                <w:szCs w:val="18"/>
                <w:shd w:val="clear" w:color="auto" w:fill="E2EFD9"/>
                <w:lang w:val="sv-SE" w:bidi="bs-Latn-BA"/>
              </w:rPr>
              <w:t>otpada</w:t>
            </w:r>
            <w:r w:rsidRPr="00FC2ABF">
              <w:rPr>
                <w:rFonts w:ascii="Arial" w:eastAsia="Calibri" w:hAnsi="Arial" w:cs="Arial"/>
                <w:b/>
                <w:bCs/>
                <w:color w:val="000000"/>
                <w:sz w:val="18"/>
                <w:szCs w:val="18"/>
                <w:shd w:val="clear" w:color="auto" w:fill="E2EFD9"/>
                <w:lang w:val="sv-SE"/>
              </w:rPr>
              <w:t xml:space="preserve"> </w:t>
            </w:r>
            <w:r w:rsidRPr="00FC2ABF">
              <w:rPr>
                <w:rFonts w:ascii="Arial" w:eastAsia="Calibri" w:hAnsi="Arial" w:cs="Arial"/>
                <w:b/>
                <w:bCs/>
                <w:color w:val="000000"/>
                <w:sz w:val="18"/>
                <w:szCs w:val="18"/>
                <w:shd w:val="clear" w:color="auto" w:fill="E2EFD9"/>
                <w:lang w:val="sv-SE" w:bidi="bs-Latn-BA"/>
              </w:rPr>
              <w:t>(t)</w:t>
            </w:r>
          </w:p>
        </w:tc>
      </w:tr>
      <w:tr w:rsidR="003825DC" w:rsidRPr="00FC2ABF" w14:paraId="21C0BC10" w14:textId="77777777" w:rsidTr="00FC2ABF">
        <w:trPr>
          <w:trHeight w:hRule="exact" w:val="1730"/>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708" w:type="dxa"/>
              <w:right w:w="551" w:type="dxa"/>
            </w:tcMar>
            <w:vAlign w:val="center"/>
          </w:tcPr>
          <w:p w14:paraId="5E8021A5" w14:textId="77777777" w:rsidR="003825DC" w:rsidRPr="00FC2ABF" w:rsidRDefault="003825DC" w:rsidP="00FC2ABF">
            <w:pPr>
              <w:spacing w:after="0" w:line="268" w:lineRule="atLeast"/>
              <w:rPr>
                <w:rFonts w:ascii="Arial" w:eastAsia="Calibri" w:hAnsi="Arial" w:cs="Arial"/>
                <w:color w:val="000000"/>
                <w:sz w:val="18"/>
                <w:szCs w:val="18"/>
                <w:lang w:bidi="bs-Latn-BA"/>
              </w:rPr>
            </w:pPr>
            <w:r w:rsidRPr="00FC2ABF">
              <w:rPr>
                <w:rFonts w:ascii="Arial" w:eastAsia="Calibri" w:hAnsi="Arial" w:cs="Arial"/>
                <w:color w:val="000000"/>
                <w:sz w:val="18"/>
                <w:szCs w:val="18"/>
                <w:lang w:bidi="bs-Latn-BA"/>
              </w:rPr>
              <w:t>Šljaka</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i</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pepeo</w:t>
            </w:r>
          </w:p>
          <w:p w14:paraId="30C78BF8" w14:textId="71E1C6F0" w:rsidR="003825DC" w:rsidRPr="00FC2ABF" w:rsidRDefault="003825DC" w:rsidP="00FC2ABF">
            <w:pPr>
              <w:spacing w:after="0" w:line="268" w:lineRule="atLeast"/>
              <w:rPr>
                <w:rFonts w:ascii="Arial" w:eastAsia="Calibri" w:hAnsi="Arial" w:cs="Arial"/>
                <w:sz w:val="18"/>
                <w:szCs w:val="18"/>
              </w:rPr>
            </w:pPr>
            <w:r w:rsidRPr="00FC2ABF">
              <w:rPr>
                <w:rFonts w:ascii="Arial" w:eastAsia="Calibri" w:hAnsi="Arial" w:cs="Arial"/>
                <w:color w:val="000000"/>
                <w:sz w:val="18"/>
                <w:szCs w:val="18"/>
                <w:lang w:bidi="bs-Latn-BA"/>
              </w:rPr>
              <w:t>10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p>
          <w:p w14:paraId="10D1153B" w14:textId="116CDCD3" w:rsidR="003825DC" w:rsidRPr="00FC2ABF" w:rsidRDefault="003825DC" w:rsidP="00FC2ABF">
            <w:pPr>
              <w:spacing w:after="0" w:line="268" w:lineRule="atLeast"/>
              <w:rPr>
                <w:rFonts w:ascii="Arial" w:eastAsia="Calibri" w:hAnsi="Arial" w:cs="Arial"/>
                <w:color w:val="000000"/>
                <w:sz w:val="18"/>
                <w:szCs w:val="18"/>
                <w:lang w:bidi="bs-Latn-BA"/>
              </w:rPr>
            </w:pPr>
            <w:r w:rsidRPr="00FC2ABF">
              <w:rPr>
                <w:rFonts w:ascii="Arial" w:eastAsia="Calibri" w:hAnsi="Arial" w:cs="Arial"/>
                <w:color w:val="000000"/>
                <w:sz w:val="18"/>
                <w:szCs w:val="18"/>
                <w:lang w:bidi="bs-Latn-BA"/>
              </w:rPr>
              <w:t>10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02</w:t>
            </w:r>
          </w:p>
          <w:p w14:paraId="331306B3" w14:textId="1860397C" w:rsidR="003825DC" w:rsidRPr="00FC2ABF" w:rsidRDefault="003825DC" w:rsidP="00FC2ABF">
            <w:pPr>
              <w:spacing w:after="0" w:line="268" w:lineRule="atLeast"/>
              <w:rPr>
                <w:rFonts w:ascii="Arial" w:eastAsia="Calibri" w:hAnsi="Arial" w:cs="Arial"/>
                <w:color w:val="000000"/>
                <w:sz w:val="18"/>
                <w:szCs w:val="18"/>
                <w:lang w:bidi="bs-Latn-BA"/>
              </w:rPr>
            </w:pPr>
            <w:r w:rsidRPr="00FC2ABF">
              <w:rPr>
                <w:rFonts w:ascii="Arial" w:eastAsia="Calibri" w:hAnsi="Arial" w:cs="Arial"/>
                <w:color w:val="000000"/>
                <w:sz w:val="18"/>
                <w:szCs w:val="18"/>
                <w:lang w:bidi="bs-Latn-BA"/>
              </w:rPr>
              <w:t>10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04*</w:t>
            </w:r>
          </w:p>
          <w:p w14:paraId="725188A0" w14:textId="3E8A11AE" w:rsidR="003825DC" w:rsidRPr="00FC2ABF" w:rsidRDefault="003825DC" w:rsidP="00FC2ABF">
            <w:pPr>
              <w:spacing w:after="0" w:line="268" w:lineRule="atLeast"/>
              <w:rPr>
                <w:rFonts w:ascii="Arial" w:eastAsia="Calibri" w:hAnsi="Arial" w:cs="Arial"/>
                <w:sz w:val="18"/>
                <w:szCs w:val="18"/>
              </w:rPr>
            </w:pPr>
            <w:r w:rsidRPr="00FC2ABF">
              <w:rPr>
                <w:rFonts w:ascii="Arial" w:eastAsia="Calibri" w:hAnsi="Arial" w:cs="Arial"/>
                <w:color w:val="000000"/>
                <w:sz w:val="18"/>
                <w:szCs w:val="18"/>
                <w:lang w:bidi="bs-Latn-BA"/>
              </w:rPr>
              <w:t>10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15</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tcPr>
          <w:p w14:paraId="3CF352AB" w14:textId="77777777" w:rsidR="003825DC" w:rsidRPr="00FC2ABF" w:rsidRDefault="003825DC" w:rsidP="002B718F">
            <w:pPr>
              <w:spacing w:before="7" w:line="268" w:lineRule="atLeast"/>
              <w:rPr>
                <w:rFonts w:ascii="Arial" w:eastAsia="Calibri" w:hAnsi="Arial" w:cs="Arial"/>
                <w:sz w:val="18"/>
                <w:szCs w:val="18"/>
                <w:lang w:val="sv-SE"/>
              </w:rPr>
            </w:pPr>
            <w:r w:rsidRPr="00FC2ABF">
              <w:rPr>
                <w:rFonts w:ascii="Arial" w:eastAsia="Calibri" w:hAnsi="Arial" w:cs="Arial"/>
                <w:color w:val="000000"/>
                <w:sz w:val="18"/>
                <w:szCs w:val="18"/>
                <w:lang w:val="sv-SE" w:bidi="bs-Latn-BA"/>
              </w:rPr>
              <w:t>Nastaje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kao</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nus</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proizvod</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nakon</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sagorijevanja.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Može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naći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u</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kotlovnici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na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deponiji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šljake.</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left w:w="751" w:type="dxa"/>
              <w:right w:w="593" w:type="dxa"/>
            </w:tcMar>
            <w:vAlign w:val="center"/>
          </w:tcPr>
          <w:p w14:paraId="5DB73D5D" w14:textId="77777777" w:rsidR="003825DC" w:rsidRPr="00FC2ABF" w:rsidRDefault="003825DC" w:rsidP="002B718F">
            <w:pPr>
              <w:spacing w:before="1"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400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691" w:type="dxa"/>
              <w:right w:w="533" w:type="dxa"/>
            </w:tcMar>
            <w:vAlign w:val="center"/>
          </w:tcPr>
          <w:p w14:paraId="59BA116B" w14:textId="77777777" w:rsidR="003825DC" w:rsidRPr="00FC2ABF" w:rsidRDefault="003825DC" w:rsidP="002B718F">
            <w:pPr>
              <w:spacing w:before="1"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400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t</w:t>
            </w:r>
          </w:p>
        </w:tc>
      </w:tr>
      <w:tr w:rsidR="003825DC" w:rsidRPr="00FC2ABF" w14:paraId="10466B5C" w14:textId="77777777" w:rsidTr="00FC2ABF">
        <w:trPr>
          <w:trHeight w:hRule="exac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742" w:type="dxa"/>
              <w:right w:w="581" w:type="dxa"/>
            </w:tcMar>
            <w:vAlign w:val="center"/>
          </w:tcPr>
          <w:p w14:paraId="77C01362" w14:textId="51D50C90" w:rsidR="003825DC" w:rsidRPr="00FC2ABF" w:rsidRDefault="003825DC" w:rsidP="00FC2ABF">
            <w:pPr>
              <w:spacing w:after="0" w:line="268" w:lineRule="atLeast"/>
              <w:rPr>
                <w:rFonts w:ascii="Arial" w:eastAsia="Calibri" w:hAnsi="Arial" w:cs="Arial"/>
                <w:color w:val="000000"/>
                <w:sz w:val="18"/>
                <w:szCs w:val="18"/>
                <w:lang w:bidi="bs-Latn-BA"/>
              </w:rPr>
            </w:pPr>
            <w:r w:rsidRPr="00FC2ABF">
              <w:rPr>
                <w:rFonts w:ascii="Arial" w:eastAsia="Calibri" w:hAnsi="Arial" w:cs="Arial"/>
                <w:color w:val="000000"/>
                <w:sz w:val="18"/>
                <w:szCs w:val="18"/>
                <w:lang w:bidi="bs-Latn-BA"/>
              </w:rPr>
              <w:t>Otpadni</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mulj</w:t>
            </w:r>
          </w:p>
          <w:p w14:paraId="301168DE" w14:textId="754FCDAC" w:rsidR="003825DC" w:rsidRPr="00FC2ABF" w:rsidRDefault="003825DC" w:rsidP="00FC2ABF">
            <w:pPr>
              <w:spacing w:after="0" w:line="268" w:lineRule="atLeast"/>
              <w:rPr>
                <w:rFonts w:ascii="Arial" w:eastAsia="Calibri" w:hAnsi="Arial" w:cs="Arial"/>
                <w:color w:val="000000"/>
                <w:sz w:val="18"/>
                <w:szCs w:val="18"/>
                <w:lang w:bidi="bs-Latn-BA"/>
              </w:rPr>
            </w:pPr>
            <w:r w:rsidRPr="00FC2ABF">
              <w:rPr>
                <w:rFonts w:ascii="Arial" w:eastAsia="Calibri" w:hAnsi="Arial" w:cs="Arial"/>
                <w:color w:val="000000"/>
                <w:sz w:val="18"/>
                <w:szCs w:val="18"/>
                <w:lang w:bidi="bs-Latn-BA"/>
              </w:rPr>
              <w:t>10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22*</w:t>
            </w:r>
          </w:p>
          <w:p w14:paraId="79FB87FA" w14:textId="531A3934" w:rsidR="003825DC" w:rsidRPr="00FC2ABF" w:rsidRDefault="003825DC" w:rsidP="00FC2ABF">
            <w:pPr>
              <w:spacing w:after="0" w:line="268" w:lineRule="atLeast"/>
              <w:rPr>
                <w:rFonts w:ascii="Arial" w:eastAsia="Calibri" w:hAnsi="Arial" w:cs="Arial"/>
                <w:sz w:val="18"/>
                <w:szCs w:val="18"/>
              </w:rPr>
            </w:pPr>
            <w:r w:rsidRPr="00FC2ABF">
              <w:rPr>
                <w:rFonts w:ascii="Arial" w:eastAsia="Calibri" w:hAnsi="Arial" w:cs="Arial"/>
                <w:color w:val="000000"/>
                <w:sz w:val="18"/>
                <w:szCs w:val="18"/>
                <w:lang w:bidi="bs-Latn-BA"/>
              </w:rPr>
              <w:t>10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23</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tcPr>
          <w:p w14:paraId="419C7DAD" w14:textId="77777777" w:rsidR="003825DC" w:rsidRPr="00FC2ABF" w:rsidRDefault="003825DC" w:rsidP="002B718F">
            <w:pPr>
              <w:spacing w:before="4" w:line="268" w:lineRule="atLeast"/>
              <w:rPr>
                <w:rFonts w:ascii="Arial" w:eastAsia="Calibri" w:hAnsi="Arial" w:cs="Arial"/>
                <w:sz w:val="18"/>
                <w:szCs w:val="18"/>
              </w:rPr>
            </w:pPr>
            <w:r w:rsidRPr="00FC2ABF">
              <w:rPr>
                <w:rFonts w:ascii="Arial" w:eastAsia="Calibri" w:hAnsi="Arial" w:cs="Arial"/>
                <w:color w:val="000000"/>
                <w:sz w:val="18"/>
                <w:szCs w:val="18"/>
                <w:lang w:bidi="bs-Latn-BA"/>
              </w:rPr>
              <w:t>Nastaje</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kao</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nus</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proizvod</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u</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kotlovnici</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left w:w="602" w:type="dxa"/>
              <w:right w:w="445" w:type="dxa"/>
            </w:tcMar>
          </w:tcPr>
          <w:p w14:paraId="2B8E396E" w14:textId="77777777" w:rsidR="003825DC" w:rsidRPr="00FC2ABF" w:rsidRDefault="003825DC" w:rsidP="002B718F">
            <w:pPr>
              <w:spacing w:before="4"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3.000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kg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542" w:type="dxa"/>
              <w:right w:w="385" w:type="dxa"/>
            </w:tcMar>
          </w:tcPr>
          <w:p w14:paraId="0A3DF3CD" w14:textId="77777777" w:rsidR="003825DC" w:rsidRPr="00FC2ABF" w:rsidRDefault="003825DC" w:rsidP="002B718F">
            <w:pPr>
              <w:spacing w:before="4"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3.000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kg</w:t>
            </w:r>
          </w:p>
        </w:tc>
      </w:tr>
      <w:tr w:rsidR="003825DC" w:rsidRPr="00FC2ABF" w14:paraId="6F8D6E62" w14:textId="77777777" w:rsidTr="00FC2ABF">
        <w:trPr>
          <w:trHeight w:hRule="exact" w:val="989"/>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28" w:type="dxa"/>
              <w:right w:w="318" w:type="dxa"/>
            </w:tcMar>
            <w:vAlign w:val="center"/>
          </w:tcPr>
          <w:p w14:paraId="789154C7" w14:textId="77777777" w:rsidR="003825DC" w:rsidRPr="00FC2ABF" w:rsidRDefault="003825DC" w:rsidP="00FC2ABF">
            <w:pPr>
              <w:spacing w:after="0" w:line="268" w:lineRule="atLeast"/>
              <w:rPr>
                <w:rFonts w:ascii="Arial" w:eastAsia="Calibri" w:hAnsi="Arial" w:cs="Arial"/>
                <w:sz w:val="18"/>
                <w:szCs w:val="18"/>
              </w:rPr>
            </w:pPr>
            <w:r w:rsidRPr="00FC2ABF">
              <w:rPr>
                <w:rFonts w:ascii="Arial" w:eastAsia="Calibri" w:hAnsi="Arial" w:cs="Arial"/>
                <w:color w:val="000000"/>
                <w:sz w:val="18"/>
                <w:szCs w:val="18"/>
                <w:lang w:bidi="bs-Latn-BA"/>
              </w:rPr>
              <w:t>Otpad</w:t>
            </w:r>
            <w:r w:rsidRPr="00FC2ABF">
              <w:rPr>
                <w:rFonts w:ascii="Arial" w:eastAsia="Calibri" w:hAnsi="Arial" w:cs="Arial"/>
                <w:color w:val="000000"/>
                <w:sz w:val="18"/>
                <w:szCs w:val="18"/>
              </w:rPr>
              <w:t xml:space="preserve"> </w:t>
            </w:r>
            <w:r w:rsidRPr="00FC2ABF">
              <w:rPr>
                <w:rFonts w:ascii="Arial" w:eastAsia="Calibri" w:hAnsi="Arial" w:cs="Arial"/>
                <w:color w:val="000000"/>
                <w:spacing w:val="1"/>
                <w:sz w:val="18"/>
                <w:szCs w:val="18"/>
                <w:lang w:bidi="bs-Latn-BA"/>
              </w:rPr>
              <w:t>od</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čišćenja</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dimnjaka</w:t>
            </w:r>
          </w:p>
          <w:p w14:paraId="7A6E522A" w14:textId="77777777" w:rsidR="003825DC" w:rsidRPr="00FC2ABF" w:rsidRDefault="003825DC" w:rsidP="00FC2ABF">
            <w:pPr>
              <w:spacing w:after="0" w:line="269" w:lineRule="atLeast"/>
              <w:ind w:left="413"/>
              <w:rPr>
                <w:rFonts w:ascii="Arial" w:eastAsia="Calibri" w:hAnsi="Arial" w:cs="Arial"/>
                <w:sz w:val="18"/>
                <w:szCs w:val="18"/>
              </w:rPr>
            </w:pPr>
            <w:r w:rsidRPr="00FC2ABF">
              <w:rPr>
                <w:rFonts w:ascii="Arial" w:eastAsia="Calibri" w:hAnsi="Arial" w:cs="Arial"/>
                <w:color w:val="000000"/>
                <w:sz w:val="18"/>
                <w:szCs w:val="18"/>
                <w:lang w:bidi="bs-Latn-BA"/>
              </w:rPr>
              <w:t>20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41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6" w:type="dxa"/>
              <w:right w:w="216" w:type="dxa"/>
            </w:tcMar>
            <w:vAlign w:val="center"/>
          </w:tcPr>
          <w:p w14:paraId="75531768" w14:textId="77777777" w:rsidR="003825DC" w:rsidRPr="00FC2ABF" w:rsidRDefault="003825DC" w:rsidP="002B718F">
            <w:pPr>
              <w:spacing w:before="1" w:line="268" w:lineRule="atLeast"/>
              <w:rPr>
                <w:rFonts w:ascii="Arial" w:eastAsia="Calibri" w:hAnsi="Arial" w:cs="Arial"/>
                <w:sz w:val="18"/>
                <w:szCs w:val="18"/>
              </w:rPr>
            </w:pPr>
            <w:r w:rsidRPr="00FC2ABF">
              <w:rPr>
                <w:rFonts w:ascii="Arial" w:eastAsia="Calibri" w:hAnsi="Arial" w:cs="Arial"/>
                <w:color w:val="000000"/>
                <w:sz w:val="18"/>
                <w:szCs w:val="18"/>
                <w:lang w:bidi="bs-Latn-BA"/>
              </w:rPr>
              <w:t>Nastaje</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u</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dimnjacima</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u</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vidu</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čađi,</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ostaci</w:t>
            </w:r>
            <w:r w:rsidRPr="00FC2ABF">
              <w:rPr>
                <w:rFonts w:ascii="Arial" w:eastAsia="Calibri" w:hAnsi="Arial" w:cs="Arial"/>
                <w:color w:val="000000"/>
                <w:sz w:val="18"/>
                <w:szCs w:val="18"/>
              </w:rPr>
              <w:t xml:space="preserve"> </w:t>
            </w:r>
            <w:r w:rsidRPr="00FC2ABF">
              <w:rPr>
                <w:rFonts w:ascii="Arial" w:eastAsia="Calibri" w:hAnsi="Arial" w:cs="Arial"/>
                <w:color w:val="000000"/>
                <w:spacing w:val="1"/>
                <w:sz w:val="18"/>
                <w:szCs w:val="18"/>
                <w:lang w:bidi="bs-Latn-BA"/>
              </w:rPr>
              <w:t>od</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sagorijevanja.</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left w:w="946" w:type="dxa"/>
              <w:right w:w="790" w:type="dxa"/>
            </w:tcMar>
            <w:vAlign w:val="center"/>
          </w:tcPr>
          <w:p w14:paraId="0FB5DE41" w14:textId="77777777" w:rsidR="003825DC" w:rsidRPr="00FC2ABF" w:rsidRDefault="003825DC" w:rsidP="002B718F">
            <w:pPr>
              <w:spacing w:before="1"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886" w:type="dxa"/>
              <w:right w:w="730" w:type="dxa"/>
            </w:tcMar>
          </w:tcPr>
          <w:p w14:paraId="4F1C25A0" w14:textId="77777777" w:rsidR="003825DC" w:rsidRPr="00FC2ABF" w:rsidRDefault="003825DC" w:rsidP="002B718F">
            <w:pPr>
              <w:spacing w:before="4"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w:t>
            </w:r>
          </w:p>
        </w:tc>
      </w:tr>
      <w:tr w:rsidR="003825DC" w:rsidRPr="00FC2ABF" w14:paraId="6BE9A839" w14:textId="77777777" w:rsidTr="00FC2ABF">
        <w:trPr>
          <w:trHeight w:hRule="exact" w:val="989"/>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136" w:type="dxa"/>
              <w:right w:w="0" w:type="dxa"/>
            </w:tcMar>
            <w:vAlign w:val="center"/>
          </w:tcPr>
          <w:p w14:paraId="1FD09F36" w14:textId="77777777" w:rsidR="003825DC" w:rsidRPr="00FC2ABF" w:rsidRDefault="003825DC" w:rsidP="00FC2ABF">
            <w:pPr>
              <w:spacing w:before="1" w:line="268" w:lineRule="atLeast"/>
              <w:rPr>
                <w:rFonts w:ascii="Arial" w:eastAsia="Calibri" w:hAnsi="Arial" w:cs="Arial"/>
                <w:sz w:val="18"/>
                <w:szCs w:val="18"/>
                <w:lang w:val="sv-SE"/>
              </w:rPr>
            </w:pPr>
            <w:r w:rsidRPr="00FC2ABF">
              <w:rPr>
                <w:rFonts w:ascii="Arial" w:eastAsia="Calibri" w:hAnsi="Arial" w:cs="Arial"/>
                <w:color w:val="000000"/>
                <w:sz w:val="18"/>
                <w:szCs w:val="18"/>
                <w:lang w:val="sv-SE" w:bidi="bs-Latn-BA"/>
              </w:rPr>
              <w:t>Otpadno</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ulje,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za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pogonske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uređaje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podmazivanje</w:t>
            </w:r>
          </w:p>
          <w:p w14:paraId="2178ACF7" w14:textId="77777777" w:rsidR="003825DC" w:rsidRPr="00FC2ABF" w:rsidRDefault="003825DC" w:rsidP="00FC2ABF">
            <w:pPr>
              <w:spacing w:before="1" w:line="269" w:lineRule="atLeast"/>
              <w:ind w:left="749"/>
              <w:rPr>
                <w:rFonts w:ascii="Arial" w:eastAsia="Calibri" w:hAnsi="Arial" w:cs="Arial"/>
                <w:sz w:val="18"/>
                <w:szCs w:val="18"/>
              </w:rPr>
            </w:pPr>
            <w:r w:rsidRPr="00FC2ABF">
              <w:rPr>
                <w:rFonts w:ascii="Arial" w:eastAsia="Calibri" w:hAnsi="Arial" w:cs="Arial"/>
                <w:color w:val="000000"/>
                <w:sz w:val="18"/>
                <w:szCs w:val="18"/>
                <w:lang w:bidi="bs-Latn-BA"/>
              </w:rPr>
              <w:t>13</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02</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08*</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6" w:type="dxa"/>
              <w:right w:w="0" w:type="dxa"/>
            </w:tcMar>
            <w:vAlign w:val="center"/>
          </w:tcPr>
          <w:p w14:paraId="2D904B1C" w14:textId="77777777" w:rsidR="003825DC" w:rsidRPr="00FC2ABF" w:rsidRDefault="003825DC" w:rsidP="002B718F">
            <w:pPr>
              <w:spacing w:before="1" w:line="268" w:lineRule="atLeast"/>
              <w:rPr>
                <w:rFonts w:ascii="Arial" w:eastAsia="Calibri" w:hAnsi="Arial" w:cs="Arial"/>
                <w:sz w:val="18"/>
                <w:szCs w:val="18"/>
                <w:lang w:val="sv-SE"/>
              </w:rPr>
            </w:pPr>
            <w:r w:rsidRPr="00FC2ABF">
              <w:rPr>
                <w:rFonts w:ascii="Arial" w:eastAsia="Calibri" w:hAnsi="Arial" w:cs="Arial"/>
                <w:color w:val="000000"/>
                <w:sz w:val="18"/>
                <w:szCs w:val="18"/>
                <w:lang w:val="sv-SE" w:bidi="bs-Latn-BA"/>
              </w:rPr>
              <w:t>Otpadna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ulja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pacing w:val="1"/>
                <w:sz w:val="18"/>
                <w:szCs w:val="18"/>
                <w:lang w:val="sv-SE" w:bidi="bs-Latn-BA"/>
              </w:rPr>
              <w:t>od</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podmazivanja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održavanja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opreme.</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left w:w="763" w:type="dxa"/>
              <w:right w:w="604" w:type="dxa"/>
            </w:tcMar>
            <w:vAlign w:val="center"/>
          </w:tcPr>
          <w:p w14:paraId="139E40AD" w14:textId="77777777" w:rsidR="003825DC" w:rsidRPr="00FC2ABF" w:rsidRDefault="003825DC" w:rsidP="002B718F">
            <w:pPr>
              <w:spacing w:before="1"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200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tcPr>
          <w:p w14:paraId="3923D59C" w14:textId="77777777" w:rsidR="003825DC" w:rsidRPr="00FC2ABF" w:rsidRDefault="003825DC" w:rsidP="002B718F">
            <w:pPr>
              <w:spacing w:before="4" w:line="268" w:lineRule="atLeast"/>
              <w:ind w:firstLine="192"/>
              <w:rPr>
                <w:rFonts w:ascii="Arial" w:eastAsia="Calibri" w:hAnsi="Arial" w:cs="Arial"/>
                <w:sz w:val="18"/>
                <w:szCs w:val="18"/>
                <w:lang w:val="sv-SE"/>
              </w:rPr>
            </w:pPr>
            <w:r w:rsidRPr="00FC2ABF">
              <w:rPr>
                <w:rFonts w:ascii="Arial" w:eastAsia="Calibri" w:hAnsi="Arial" w:cs="Arial"/>
                <w:color w:val="000000"/>
                <w:sz w:val="18"/>
                <w:szCs w:val="18"/>
                <w:lang w:val="sv-SE" w:bidi="bs-Latn-BA"/>
              </w:rPr>
              <w:t>Ne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tretira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samo</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skladišti.</w:t>
            </w:r>
          </w:p>
        </w:tc>
      </w:tr>
      <w:tr w:rsidR="003825DC" w:rsidRPr="00FC2ABF" w14:paraId="01833560" w14:textId="77777777" w:rsidTr="00FC2ABF">
        <w:trPr>
          <w:trHeight w:hRule="exact" w:val="1290"/>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938" w:type="dxa"/>
              <w:right w:w="735" w:type="dxa"/>
            </w:tcMar>
            <w:vAlign w:val="center"/>
          </w:tcPr>
          <w:p w14:paraId="55C670FB" w14:textId="77777777" w:rsidR="005B1F53" w:rsidRPr="00FC2ABF" w:rsidRDefault="003825DC" w:rsidP="00FC2ABF">
            <w:pPr>
              <w:spacing w:after="0" w:line="266" w:lineRule="atLeast"/>
              <w:rPr>
                <w:rFonts w:ascii="Arial" w:eastAsia="Calibri" w:hAnsi="Arial" w:cs="Arial"/>
                <w:color w:val="000000"/>
                <w:sz w:val="18"/>
                <w:szCs w:val="18"/>
                <w:lang w:bidi="bs-Latn-BA"/>
              </w:rPr>
            </w:pPr>
            <w:r w:rsidRPr="00FC2ABF">
              <w:rPr>
                <w:rFonts w:ascii="Arial" w:eastAsia="Calibri" w:hAnsi="Arial" w:cs="Arial"/>
                <w:color w:val="000000"/>
                <w:sz w:val="18"/>
                <w:szCs w:val="18"/>
                <w:lang w:bidi="bs-Latn-BA"/>
              </w:rPr>
              <w:t>Metali</w:t>
            </w:r>
          </w:p>
          <w:p w14:paraId="7DE789B1" w14:textId="119225C4" w:rsidR="003825DC" w:rsidRPr="00FC2ABF" w:rsidRDefault="003825DC" w:rsidP="00FC2ABF">
            <w:pPr>
              <w:spacing w:after="0" w:line="266" w:lineRule="atLeast"/>
              <w:rPr>
                <w:rFonts w:ascii="Arial" w:eastAsia="Calibri" w:hAnsi="Arial" w:cs="Arial"/>
                <w:color w:val="000000"/>
                <w:sz w:val="18"/>
                <w:szCs w:val="18"/>
                <w:lang w:bidi="bs-Latn-BA"/>
              </w:rPr>
            </w:pPr>
            <w:r w:rsidRPr="00FC2ABF">
              <w:rPr>
                <w:rFonts w:ascii="Arial" w:eastAsia="Calibri" w:hAnsi="Arial" w:cs="Arial"/>
                <w:color w:val="000000"/>
                <w:sz w:val="18"/>
                <w:szCs w:val="18"/>
                <w:lang w:bidi="bs-Latn-BA"/>
              </w:rPr>
              <w:t>20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40</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6" w:type="dxa"/>
              <w:right w:w="494" w:type="dxa"/>
            </w:tcMar>
            <w:vAlign w:val="center"/>
          </w:tcPr>
          <w:p w14:paraId="369A3639" w14:textId="77777777" w:rsidR="003825DC" w:rsidRPr="00FC2ABF" w:rsidRDefault="003825DC" w:rsidP="002B718F">
            <w:pPr>
              <w:spacing w:line="266" w:lineRule="atLeast"/>
              <w:rPr>
                <w:rFonts w:ascii="Arial" w:eastAsia="Calibri" w:hAnsi="Arial" w:cs="Arial"/>
                <w:sz w:val="18"/>
                <w:szCs w:val="18"/>
              </w:rPr>
            </w:pPr>
            <w:r w:rsidRPr="00FC2ABF">
              <w:rPr>
                <w:rFonts w:ascii="Arial" w:eastAsia="Calibri" w:hAnsi="Arial" w:cs="Arial"/>
                <w:color w:val="000000"/>
                <w:sz w:val="18"/>
                <w:szCs w:val="18"/>
                <w:lang w:bidi="bs-Latn-BA"/>
              </w:rPr>
              <w:t>Otpad</w:t>
            </w:r>
            <w:r w:rsidRPr="00FC2ABF">
              <w:rPr>
                <w:rFonts w:ascii="Arial" w:eastAsia="Calibri" w:hAnsi="Arial" w:cs="Arial"/>
                <w:color w:val="000000"/>
                <w:sz w:val="18"/>
                <w:szCs w:val="18"/>
              </w:rPr>
              <w:t xml:space="preserve"> </w:t>
            </w:r>
            <w:r w:rsidRPr="00FC2ABF">
              <w:rPr>
                <w:rFonts w:ascii="Arial" w:eastAsia="Calibri" w:hAnsi="Arial" w:cs="Arial"/>
                <w:color w:val="000000"/>
                <w:spacing w:val="1"/>
                <w:sz w:val="18"/>
                <w:szCs w:val="18"/>
                <w:lang w:bidi="bs-Latn-BA"/>
              </w:rPr>
              <w:t>od</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održavanja</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pogona</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left w:w="631" w:type="dxa"/>
              <w:right w:w="472" w:type="dxa"/>
            </w:tcMar>
            <w:vAlign w:val="center"/>
          </w:tcPr>
          <w:p w14:paraId="551F0A56" w14:textId="77777777" w:rsidR="003825DC" w:rsidRPr="00FC2ABF" w:rsidRDefault="003825DC" w:rsidP="002B718F">
            <w:pPr>
              <w:spacing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1000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kg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4" w:type="dxa"/>
              <w:right w:w="0" w:type="dxa"/>
            </w:tcMar>
          </w:tcPr>
          <w:p w14:paraId="22DC7915" w14:textId="77777777" w:rsidR="003825DC" w:rsidRPr="00FC2ABF" w:rsidRDefault="003825DC" w:rsidP="002B718F">
            <w:pPr>
              <w:spacing w:before="4" w:line="266" w:lineRule="atLeast"/>
              <w:ind w:firstLine="192"/>
              <w:rPr>
                <w:rFonts w:ascii="Arial" w:eastAsia="Calibri" w:hAnsi="Arial" w:cs="Arial"/>
                <w:sz w:val="18"/>
                <w:szCs w:val="18"/>
                <w:lang w:val="sv-SE"/>
              </w:rPr>
            </w:pPr>
            <w:r w:rsidRPr="00FC2ABF">
              <w:rPr>
                <w:rFonts w:ascii="Arial" w:eastAsia="Calibri" w:hAnsi="Arial" w:cs="Arial"/>
                <w:color w:val="000000"/>
                <w:sz w:val="18"/>
                <w:szCs w:val="18"/>
                <w:lang w:val="sv-SE" w:bidi="bs-Latn-BA"/>
              </w:rPr>
              <w:t>Ne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tretira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samo</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skladišti.</w:t>
            </w:r>
          </w:p>
        </w:tc>
      </w:tr>
      <w:tr w:rsidR="003825DC" w:rsidRPr="00FC2ABF" w14:paraId="6AC891C9" w14:textId="77777777" w:rsidTr="00FC2ABF">
        <w:trPr>
          <w:trHeight w:hRule="exact" w:val="816"/>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725" w:type="dxa"/>
              <w:right w:w="565" w:type="dxa"/>
            </w:tcMar>
            <w:vAlign w:val="center"/>
          </w:tcPr>
          <w:p w14:paraId="55374EC7" w14:textId="77777777" w:rsidR="003825DC" w:rsidRPr="00FC2ABF" w:rsidRDefault="003825DC" w:rsidP="002B718F">
            <w:pPr>
              <w:spacing w:line="268" w:lineRule="atLeast"/>
              <w:jc w:val="center"/>
              <w:rPr>
                <w:rFonts w:ascii="Arial" w:eastAsia="Calibri" w:hAnsi="Arial" w:cs="Arial"/>
                <w:color w:val="000000"/>
                <w:sz w:val="18"/>
                <w:szCs w:val="18"/>
                <w:lang w:bidi="bs-Latn-BA"/>
              </w:rPr>
            </w:pPr>
            <w:r w:rsidRPr="00FC2ABF">
              <w:rPr>
                <w:rFonts w:ascii="Arial" w:eastAsia="Calibri" w:hAnsi="Arial" w:cs="Arial"/>
                <w:color w:val="000000"/>
                <w:sz w:val="18"/>
                <w:szCs w:val="18"/>
                <w:lang w:bidi="bs-Latn-BA"/>
              </w:rPr>
              <w:lastRenderedPageBreak/>
              <w:t>Papir</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i</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 xml:space="preserve">karton </w:t>
            </w:r>
          </w:p>
          <w:p w14:paraId="21A34EE3" w14:textId="411B73D3" w:rsidR="003825DC" w:rsidRPr="00FC2ABF" w:rsidRDefault="003825DC" w:rsidP="002B718F">
            <w:pPr>
              <w:spacing w:line="268" w:lineRule="atLeast"/>
              <w:jc w:val="center"/>
              <w:rPr>
                <w:rFonts w:ascii="Arial" w:eastAsia="Calibri" w:hAnsi="Arial" w:cs="Arial"/>
                <w:sz w:val="18"/>
                <w:szCs w:val="18"/>
              </w:rPr>
            </w:pPr>
            <w:r w:rsidRPr="00FC2ABF">
              <w:rPr>
                <w:rFonts w:ascii="Arial" w:eastAsia="Calibri" w:hAnsi="Arial" w:cs="Arial"/>
                <w:color w:val="000000"/>
                <w:sz w:val="18"/>
                <w:szCs w:val="18"/>
                <w:lang w:bidi="bs-Latn-BA"/>
              </w:rPr>
              <w:t>20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6" w:type="dxa"/>
              <w:right w:w="174" w:type="dxa"/>
            </w:tcMar>
            <w:vAlign w:val="center"/>
          </w:tcPr>
          <w:p w14:paraId="111617FC" w14:textId="77777777" w:rsidR="003825DC" w:rsidRPr="00FC2ABF" w:rsidRDefault="003825DC" w:rsidP="002B718F">
            <w:pPr>
              <w:spacing w:before="1" w:line="268" w:lineRule="atLeast"/>
              <w:rPr>
                <w:rFonts w:ascii="Arial" w:eastAsia="Calibri" w:hAnsi="Arial" w:cs="Arial"/>
                <w:sz w:val="18"/>
                <w:szCs w:val="18"/>
                <w:lang w:val="sv-SE"/>
              </w:rPr>
            </w:pPr>
            <w:r w:rsidRPr="00FC2ABF">
              <w:rPr>
                <w:rFonts w:ascii="Arial" w:eastAsia="Calibri" w:hAnsi="Arial" w:cs="Arial"/>
                <w:color w:val="000000"/>
                <w:sz w:val="18"/>
                <w:szCs w:val="18"/>
                <w:lang w:val="sv-SE" w:bidi="bs-Latn-BA"/>
              </w:rPr>
              <w:t>Otpad</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pacing w:val="1"/>
                <w:sz w:val="18"/>
                <w:szCs w:val="18"/>
                <w:lang w:val="sv-SE" w:bidi="bs-Latn-BA"/>
              </w:rPr>
              <w:t>od</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radnika,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otpad</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pacing w:val="1"/>
                <w:sz w:val="18"/>
                <w:szCs w:val="18"/>
                <w:lang w:val="sv-SE" w:bidi="bs-Latn-BA"/>
              </w:rPr>
              <w:t>od</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dopreme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sirovina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pakovanja</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left w:w="686" w:type="dxa"/>
              <w:right w:w="527" w:type="dxa"/>
            </w:tcMar>
            <w:vAlign w:val="center"/>
          </w:tcPr>
          <w:p w14:paraId="17A2E266" w14:textId="77777777" w:rsidR="003825DC" w:rsidRPr="00FC2ABF" w:rsidRDefault="003825DC" w:rsidP="002B718F">
            <w:pPr>
              <w:spacing w:before="1"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200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kg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1" w:type="dxa"/>
              <w:right w:w="0" w:type="dxa"/>
            </w:tcMar>
          </w:tcPr>
          <w:p w14:paraId="5ED41598" w14:textId="77777777" w:rsidR="003825DC" w:rsidRPr="00FC2ABF" w:rsidRDefault="003825DC" w:rsidP="002B718F">
            <w:pPr>
              <w:spacing w:before="4" w:line="268" w:lineRule="atLeast"/>
              <w:jc w:val="center"/>
              <w:rPr>
                <w:rFonts w:ascii="Arial" w:eastAsia="Calibri" w:hAnsi="Arial" w:cs="Arial"/>
                <w:sz w:val="18"/>
                <w:szCs w:val="18"/>
                <w:lang w:val="sv-SE"/>
              </w:rPr>
            </w:pPr>
            <w:r w:rsidRPr="00FC2ABF">
              <w:rPr>
                <w:rFonts w:ascii="Arial" w:eastAsia="Calibri" w:hAnsi="Arial" w:cs="Arial"/>
                <w:color w:val="000000"/>
                <w:sz w:val="18"/>
                <w:szCs w:val="18"/>
                <w:lang w:val="sv-SE" w:bidi="bs-Latn-BA"/>
              </w:rPr>
              <w:t>Predmetni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pogon</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ne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vrši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obradu</w:t>
            </w:r>
          </w:p>
        </w:tc>
      </w:tr>
      <w:tr w:rsidR="003825DC" w:rsidRPr="00FC2ABF" w14:paraId="7FA6F8AE" w14:textId="77777777" w:rsidTr="00FC2ABF">
        <w:trPr>
          <w:trHeight w:hRule="exact" w:val="817"/>
        </w:trPr>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64" w:type="dxa"/>
              <w:right w:w="403" w:type="dxa"/>
            </w:tcMar>
            <w:vAlign w:val="center"/>
          </w:tcPr>
          <w:p w14:paraId="2B8DB2BF" w14:textId="77777777" w:rsidR="003825DC" w:rsidRPr="00FC2ABF" w:rsidRDefault="003825DC" w:rsidP="002B718F">
            <w:pPr>
              <w:spacing w:before="1" w:line="268" w:lineRule="atLeast"/>
              <w:jc w:val="center"/>
              <w:rPr>
                <w:rFonts w:ascii="Arial" w:eastAsia="Calibri" w:hAnsi="Arial" w:cs="Arial"/>
                <w:sz w:val="18"/>
                <w:szCs w:val="18"/>
              </w:rPr>
            </w:pPr>
            <w:r w:rsidRPr="00FC2ABF">
              <w:rPr>
                <w:rFonts w:ascii="Arial" w:eastAsia="Calibri" w:hAnsi="Arial" w:cs="Arial"/>
                <w:color w:val="000000"/>
                <w:sz w:val="18"/>
                <w:szCs w:val="18"/>
                <w:lang w:bidi="bs-Latn-BA"/>
              </w:rPr>
              <w:t>Miješani komunalni</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otpad 20</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03</w:t>
            </w:r>
            <w:r w:rsidRPr="00FC2ABF">
              <w:rPr>
                <w:rFonts w:ascii="Arial" w:eastAsia="Calibri" w:hAnsi="Arial" w:cs="Arial"/>
                <w:color w:val="000000"/>
                <w:sz w:val="18"/>
                <w:szCs w:val="18"/>
              </w:rPr>
              <w:t xml:space="preserve"> </w:t>
            </w:r>
            <w:r w:rsidRPr="00FC2ABF">
              <w:rPr>
                <w:rFonts w:ascii="Arial" w:eastAsia="Calibri" w:hAnsi="Arial" w:cs="Arial"/>
                <w:color w:val="000000"/>
                <w:sz w:val="18"/>
                <w:szCs w:val="18"/>
                <w:lang w:bidi="bs-Latn-BA"/>
              </w:rPr>
              <w:t>01</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6" w:type="dxa"/>
              <w:right w:w="268" w:type="dxa"/>
            </w:tcMar>
          </w:tcPr>
          <w:p w14:paraId="760F246C" w14:textId="77777777" w:rsidR="003825DC" w:rsidRPr="00FC2ABF" w:rsidRDefault="003825DC" w:rsidP="002B718F">
            <w:pPr>
              <w:spacing w:before="5" w:line="268" w:lineRule="atLeast"/>
              <w:rPr>
                <w:rFonts w:ascii="Arial" w:eastAsia="Calibri" w:hAnsi="Arial" w:cs="Arial"/>
                <w:sz w:val="18"/>
                <w:szCs w:val="18"/>
                <w:lang w:val="sv-SE"/>
              </w:rPr>
            </w:pPr>
            <w:r w:rsidRPr="00FC2ABF">
              <w:rPr>
                <w:rFonts w:ascii="Arial" w:eastAsia="Calibri" w:hAnsi="Arial" w:cs="Arial"/>
                <w:color w:val="000000"/>
                <w:sz w:val="18"/>
                <w:szCs w:val="18"/>
                <w:lang w:val="sv-SE" w:bidi="bs-Latn-BA"/>
              </w:rPr>
              <w:t>Otpad</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iz</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kancelarija,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pacing w:val="1"/>
                <w:sz w:val="18"/>
                <w:szCs w:val="18"/>
                <w:lang w:val="sv-SE" w:bidi="bs-Latn-BA"/>
              </w:rPr>
              <w:t>od</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radnika</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u</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pogonu</w:t>
            </w:r>
          </w:p>
        </w:tc>
        <w:tc>
          <w:tcPr>
            <w:tcW w:w="1794" w:type="dxa"/>
            <w:tcBorders>
              <w:top w:val="single" w:sz="4" w:space="0" w:color="000000"/>
              <w:left w:val="single" w:sz="4" w:space="0" w:color="000000"/>
              <w:bottom w:val="single" w:sz="4" w:space="0" w:color="000000"/>
              <w:right w:val="single" w:sz="4" w:space="0" w:color="000000"/>
            </w:tcBorders>
            <w:shd w:val="clear" w:color="auto" w:fill="auto"/>
            <w:tcMar>
              <w:left w:w="946" w:type="dxa"/>
              <w:right w:w="790" w:type="dxa"/>
            </w:tcMar>
            <w:vAlign w:val="center"/>
          </w:tcPr>
          <w:p w14:paraId="3DF537AC" w14:textId="77777777" w:rsidR="003825DC" w:rsidRPr="00FC2ABF" w:rsidRDefault="003825DC" w:rsidP="002B718F">
            <w:pPr>
              <w:spacing w:before="1" w:line="269" w:lineRule="atLeast"/>
              <w:jc w:val="both"/>
              <w:rPr>
                <w:rFonts w:ascii="Arial" w:eastAsia="Calibri" w:hAnsi="Arial" w:cs="Arial"/>
                <w:sz w:val="18"/>
                <w:szCs w:val="18"/>
              </w:rPr>
            </w:pPr>
            <w:r w:rsidRPr="00FC2ABF">
              <w:rPr>
                <w:rFonts w:ascii="Arial" w:eastAsia="Calibri" w:hAnsi="Arial" w:cs="Arial"/>
                <w:color w:val="000000"/>
                <w:sz w:val="18"/>
                <w:szCs w:val="18"/>
                <w:lang w:bidi="bs-Latn-BA"/>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41" w:type="dxa"/>
              <w:right w:w="0" w:type="dxa"/>
            </w:tcMar>
          </w:tcPr>
          <w:p w14:paraId="0365A5D1" w14:textId="77777777" w:rsidR="003825DC" w:rsidRPr="00FC2ABF" w:rsidRDefault="003825DC" w:rsidP="002B718F">
            <w:pPr>
              <w:spacing w:before="4" w:line="268" w:lineRule="atLeast"/>
              <w:jc w:val="center"/>
              <w:rPr>
                <w:rFonts w:ascii="Arial" w:eastAsia="Calibri" w:hAnsi="Arial" w:cs="Arial"/>
                <w:sz w:val="18"/>
                <w:szCs w:val="18"/>
                <w:lang w:val="sv-SE"/>
              </w:rPr>
            </w:pPr>
            <w:r w:rsidRPr="00FC2ABF">
              <w:rPr>
                <w:rFonts w:ascii="Arial" w:eastAsia="Calibri" w:hAnsi="Arial" w:cs="Arial"/>
                <w:color w:val="000000"/>
                <w:sz w:val="18"/>
                <w:szCs w:val="18"/>
                <w:lang w:val="sv-SE" w:bidi="bs-Latn-BA"/>
              </w:rPr>
              <w:t>Predmetni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pogon</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ne</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vrši</w:t>
            </w:r>
            <w:r w:rsidRPr="00FC2ABF">
              <w:rPr>
                <w:rFonts w:ascii="Arial" w:eastAsia="Calibri" w:hAnsi="Arial" w:cs="Arial"/>
                <w:color w:val="000000"/>
                <w:sz w:val="18"/>
                <w:szCs w:val="18"/>
                <w:lang w:val="sv-SE"/>
              </w:rPr>
              <w:t xml:space="preserve"> </w:t>
            </w:r>
            <w:r w:rsidRPr="00FC2ABF">
              <w:rPr>
                <w:rFonts w:ascii="Arial" w:eastAsia="Calibri" w:hAnsi="Arial" w:cs="Arial"/>
                <w:color w:val="000000"/>
                <w:sz w:val="18"/>
                <w:szCs w:val="18"/>
                <w:lang w:val="sv-SE" w:bidi="bs-Latn-BA"/>
              </w:rPr>
              <w:t>obradu</w:t>
            </w:r>
          </w:p>
        </w:tc>
      </w:tr>
    </w:tbl>
    <w:p w14:paraId="788A9905" w14:textId="77777777" w:rsidR="004C4708" w:rsidRPr="00531BD4" w:rsidRDefault="004C4708" w:rsidP="00531BD4">
      <w:pPr>
        <w:tabs>
          <w:tab w:val="left" w:pos="1950"/>
        </w:tabs>
        <w:spacing w:after="0"/>
        <w:rPr>
          <w:b/>
          <w:bCs/>
        </w:rPr>
      </w:pPr>
    </w:p>
    <w:p w14:paraId="0A613D0F" w14:textId="3EF3DC37" w:rsidR="00F510FB" w:rsidRPr="004C4708" w:rsidRDefault="004C4708" w:rsidP="003C1100">
      <w:pPr>
        <w:tabs>
          <w:tab w:val="left" w:pos="1950"/>
        </w:tabs>
        <w:spacing w:after="0"/>
        <w:ind w:left="360"/>
        <w:rPr>
          <w:b/>
          <w:bCs/>
        </w:rPr>
      </w:pPr>
      <w:r w:rsidRPr="004C4708">
        <w:rPr>
          <w:b/>
          <w:bCs/>
        </w:rPr>
        <w:t>4.4.1. Talog od otpadnih voda</w:t>
      </w:r>
    </w:p>
    <w:p w14:paraId="06C0564C" w14:textId="651B5931" w:rsidR="004328D8" w:rsidRDefault="004C4708" w:rsidP="00054E51">
      <w:pPr>
        <w:tabs>
          <w:tab w:val="left" w:pos="1950"/>
        </w:tabs>
        <w:spacing w:after="0"/>
        <w:ind w:left="360"/>
        <w:jc w:val="both"/>
      </w:pPr>
      <w:r>
        <w:t xml:space="preserve">Redovno se čisti sabirono taložni spremnik u kome su uronjene cijevi tehničke otpadne vode. Skupljeni talog se čisti i odvozi </w:t>
      </w:r>
      <w:r w:rsidR="003825DC">
        <w:t>ci</w:t>
      </w:r>
      <w:r>
        <w:t>sternama gradske čistoće prije početka sezone grijanja i po završetku grejne sezone. Oborinski kanal redovito se čisti dva puta u ljetnom periodu, a u sezoni od početka rada kotlovnice do završetka sezone grijanja čišćenje se vrši najmanje jedan puta mjesečno. Nataložene materija koje se vade čišćenjem odlažu se na prostor odlaganja šljake.</w:t>
      </w:r>
    </w:p>
    <w:p w14:paraId="7F81FEB8" w14:textId="77777777" w:rsidR="004328D8" w:rsidRDefault="004328D8" w:rsidP="003C1100">
      <w:pPr>
        <w:tabs>
          <w:tab w:val="left" w:pos="1950"/>
        </w:tabs>
        <w:spacing w:after="0"/>
        <w:ind w:left="360"/>
      </w:pPr>
    </w:p>
    <w:p w14:paraId="11970F91" w14:textId="76DFE949" w:rsidR="004C4708" w:rsidRPr="004C4708" w:rsidRDefault="004C4708" w:rsidP="003C1100">
      <w:pPr>
        <w:tabs>
          <w:tab w:val="left" w:pos="1950"/>
        </w:tabs>
        <w:spacing w:after="0"/>
        <w:ind w:left="360"/>
        <w:rPr>
          <w:b/>
          <w:bCs/>
        </w:rPr>
      </w:pPr>
      <w:r w:rsidRPr="004C4708">
        <w:rPr>
          <w:b/>
          <w:bCs/>
        </w:rPr>
        <w:t>4.4.2. Šljaka</w:t>
      </w:r>
    </w:p>
    <w:p w14:paraId="798D6BB6" w14:textId="300F1CD4" w:rsidR="004C4708" w:rsidRDefault="004C4708" w:rsidP="004C4708">
      <w:pPr>
        <w:tabs>
          <w:tab w:val="left" w:pos="1950"/>
        </w:tabs>
        <w:spacing w:after="0"/>
        <w:ind w:left="360"/>
        <w:jc w:val="both"/>
      </w:pPr>
      <w:r>
        <w:t>Kod loženja uglja nus proizvoda je šljaka čije količine zavise od kvaliteta samog ulja. Količina šljake se kreće u granicama oko 20% od količine utrošenog uglja, koja se ohlađena izvozi trakastim transporterima na deponiju šljake. Prikupljene količine šljake se odvoze za izradu šljako blokova firmi „Zlatić“ d.o.o. Travnik sa kojim postoji ugovor o preuzimanju šljake sa deponije u krugu toplane.</w:t>
      </w:r>
    </w:p>
    <w:p w14:paraId="4571CB6D" w14:textId="77777777" w:rsidR="004C4708" w:rsidRDefault="004C4708" w:rsidP="004C4708">
      <w:pPr>
        <w:tabs>
          <w:tab w:val="left" w:pos="1950"/>
        </w:tabs>
        <w:spacing w:after="0"/>
        <w:ind w:left="360"/>
        <w:jc w:val="both"/>
      </w:pPr>
    </w:p>
    <w:p w14:paraId="475F1691" w14:textId="49AAFFC3" w:rsidR="004C4708" w:rsidRPr="004C4708" w:rsidRDefault="004C4708" w:rsidP="004C4708">
      <w:pPr>
        <w:tabs>
          <w:tab w:val="left" w:pos="1950"/>
        </w:tabs>
        <w:spacing w:after="0"/>
        <w:ind w:left="360"/>
        <w:jc w:val="both"/>
        <w:rPr>
          <w:b/>
          <w:bCs/>
        </w:rPr>
      </w:pPr>
      <w:r w:rsidRPr="004C4708">
        <w:rPr>
          <w:b/>
          <w:bCs/>
        </w:rPr>
        <w:t>4.4.3. Ostali čvrsti otpad</w:t>
      </w:r>
    </w:p>
    <w:p w14:paraId="0D8132D2" w14:textId="485BD679" w:rsidR="004C4708" w:rsidRPr="004C4708" w:rsidRDefault="004C4708" w:rsidP="004C4708">
      <w:pPr>
        <w:tabs>
          <w:tab w:val="left" w:pos="1950"/>
        </w:tabs>
        <w:spacing w:after="0"/>
        <w:ind w:left="360"/>
        <w:jc w:val="both"/>
      </w:pPr>
      <w:r w:rsidRPr="004C4708">
        <w:t>Kao ostali čvrsti otpad prisutna je ambalaža sredstava za kandiciranje kotlovske vode Hydro – X – a industrijske soli. Hydro – X je pakovan u odgovarajuće plastične kante zapremine 25 l. Industrijska so je pakovana u najlonske vreće.</w:t>
      </w:r>
    </w:p>
    <w:p w14:paraId="5385D2C6" w14:textId="77777777" w:rsidR="004C4708" w:rsidRDefault="004C4708" w:rsidP="004C4708">
      <w:pPr>
        <w:tabs>
          <w:tab w:val="left" w:pos="1950"/>
        </w:tabs>
        <w:spacing w:after="0"/>
        <w:ind w:left="360"/>
        <w:jc w:val="both"/>
      </w:pPr>
    </w:p>
    <w:p w14:paraId="5ACC43D4" w14:textId="024707E5" w:rsidR="004C4708" w:rsidRPr="004C4708" w:rsidRDefault="004C4708" w:rsidP="004C4708">
      <w:pPr>
        <w:tabs>
          <w:tab w:val="left" w:pos="1950"/>
        </w:tabs>
        <w:spacing w:after="0"/>
        <w:ind w:left="360"/>
        <w:jc w:val="both"/>
        <w:rPr>
          <w:b/>
          <w:bCs/>
        </w:rPr>
      </w:pPr>
      <w:r w:rsidRPr="004C4708">
        <w:rPr>
          <w:b/>
          <w:bCs/>
        </w:rPr>
        <w:t>4.4.4. Rabljena ulja</w:t>
      </w:r>
    </w:p>
    <w:p w14:paraId="739623E2" w14:textId="1612E629" w:rsidR="00207FBE" w:rsidRDefault="004C4708" w:rsidP="00207FBE">
      <w:pPr>
        <w:tabs>
          <w:tab w:val="left" w:pos="1950"/>
        </w:tabs>
        <w:spacing w:after="0"/>
        <w:ind w:left="360"/>
        <w:jc w:val="both"/>
      </w:pPr>
      <w:r>
        <w:t>Kod rada na reduktorima u kojima se nalazi ulje isto se mijenja nakon određenog broja sati rada. Izmjenjena ulja se propisno odlažu u zatvorene kante koje svojim skladištenjem ne mogu doći niti ugroziti vode tlo.</w:t>
      </w:r>
    </w:p>
    <w:p w14:paraId="1F1862A7" w14:textId="77777777" w:rsidR="00207FBE" w:rsidRDefault="00207FBE" w:rsidP="00207FBE">
      <w:pPr>
        <w:tabs>
          <w:tab w:val="left" w:pos="1950"/>
        </w:tabs>
        <w:spacing w:after="0"/>
        <w:ind w:left="360"/>
        <w:jc w:val="both"/>
      </w:pPr>
    </w:p>
    <w:p w14:paraId="1BF2C952" w14:textId="0872AE24" w:rsidR="00207FBE" w:rsidRPr="00207FBE" w:rsidRDefault="00207FBE" w:rsidP="00207FBE">
      <w:pPr>
        <w:tabs>
          <w:tab w:val="left" w:pos="1950"/>
        </w:tabs>
        <w:spacing w:after="0"/>
        <w:ind w:left="360"/>
        <w:jc w:val="both"/>
        <w:rPr>
          <w:b/>
          <w:bCs/>
        </w:rPr>
      </w:pPr>
      <w:r w:rsidRPr="00207FBE">
        <w:rPr>
          <w:b/>
          <w:bCs/>
        </w:rPr>
        <w:t>5. Postojeće i planirane aktivnosti za smanjenje emisija</w:t>
      </w:r>
    </w:p>
    <w:p w14:paraId="49264313" w14:textId="1FD70CB0" w:rsidR="000C4CAD" w:rsidRPr="00531BD4" w:rsidRDefault="00AA2B9F" w:rsidP="000C4CAD">
      <w:pPr>
        <w:tabs>
          <w:tab w:val="left" w:pos="1950"/>
        </w:tabs>
        <w:spacing w:after="0"/>
        <w:ind w:left="360"/>
        <w:jc w:val="both"/>
      </w:pPr>
      <w:r w:rsidRPr="00531BD4">
        <w:rPr>
          <w:rFonts w:ascii="Calibri" w:eastAsia="Calibri" w:hAnsi="Calibri" w:cs="Calibri"/>
          <w:lang w:bidi="bs-Latn-BA"/>
        </w:rPr>
        <w:t>Usklađenost</w:t>
      </w:r>
      <w:r w:rsidRPr="00531BD4">
        <w:rPr>
          <w:rFonts w:ascii="Calibri" w:eastAsia="Calibri" w:hAnsi="Calibri" w:cs="Calibri"/>
        </w:rPr>
        <w:t xml:space="preserve"> </w:t>
      </w:r>
      <w:r w:rsidRPr="00531BD4">
        <w:rPr>
          <w:rFonts w:ascii="Calibri" w:eastAsia="Calibri" w:hAnsi="Calibri" w:cs="Calibri"/>
          <w:lang w:bidi="bs-Latn-BA"/>
        </w:rPr>
        <w:t>emisija</w:t>
      </w:r>
      <w:r w:rsidRPr="00531BD4">
        <w:rPr>
          <w:rFonts w:ascii="Calibri" w:eastAsia="Calibri" w:hAnsi="Calibri" w:cs="Calibri"/>
        </w:rPr>
        <w:t xml:space="preserve"> </w:t>
      </w:r>
      <w:r w:rsidRPr="00531BD4">
        <w:rPr>
          <w:rFonts w:ascii="Calibri" w:eastAsia="Calibri" w:hAnsi="Calibri" w:cs="Calibri"/>
          <w:lang w:bidi="bs-Latn-BA"/>
        </w:rPr>
        <w:t>iz</w:t>
      </w:r>
      <w:r w:rsidRPr="00531BD4">
        <w:rPr>
          <w:rFonts w:ascii="Calibri" w:eastAsia="Calibri" w:hAnsi="Calibri" w:cs="Calibri"/>
        </w:rPr>
        <w:t xml:space="preserve"> </w:t>
      </w:r>
      <w:r w:rsidRPr="00531BD4">
        <w:rPr>
          <w:rFonts w:ascii="Calibri" w:eastAsia="Calibri" w:hAnsi="Calibri" w:cs="Calibri"/>
          <w:lang w:bidi="bs-Latn-BA"/>
        </w:rPr>
        <w:t>pogona/postrojenja</w:t>
      </w:r>
      <w:r w:rsidRPr="00531BD4">
        <w:rPr>
          <w:rFonts w:ascii="Calibri" w:eastAsia="Calibri" w:hAnsi="Calibri" w:cs="Calibri"/>
        </w:rPr>
        <w:t xml:space="preserve"> </w:t>
      </w:r>
      <w:r w:rsidR="00531BD4" w:rsidRPr="00531BD4">
        <w:rPr>
          <w:rFonts w:ascii="Calibri" w:eastAsia="Calibri" w:hAnsi="Calibri" w:cs="Calibri"/>
        </w:rPr>
        <w:t xml:space="preserve"> </w:t>
      </w:r>
      <w:r w:rsidRPr="00531BD4">
        <w:rPr>
          <w:rFonts w:ascii="Calibri" w:eastAsia="Calibri" w:hAnsi="Calibri" w:cs="Calibri"/>
          <w:lang w:bidi="bs-Latn-BA"/>
        </w:rPr>
        <w:t>sa</w:t>
      </w:r>
      <w:r w:rsidRPr="00531BD4">
        <w:rPr>
          <w:rFonts w:ascii="Calibri" w:eastAsia="Calibri" w:hAnsi="Calibri" w:cs="Calibri"/>
        </w:rPr>
        <w:t xml:space="preserve"> </w:t>
      </w:r>
      <w:r w:rsidRPr="00531BD4">
        <w:rPr>
          <w:rFonts w:ascii="Calibri" w:eastAsia="Calibri" w:hAnsi="Calibri" w:cs="Calibri"/>
          <w:lang w:bidi="bs-Latn-BA"/>
        </w:rPr>
        <w:t>najboljim</w:t>
      </w:r>
      <w:r w:rsidRPr="00531BD4">
        <w:rPr>
          <w:rFonts w:ascii="Calibri" w:eastAsia="Calibri" w:hAnsi="Calibri" w:cs="Calibri"/>
        </w:rPr>
        <w:t xml:space="preserve"> </w:t>
      </w:r>
      <w:r w:rsidRPr="00531BD4">
        <w:rPr>
          <w:rFonts w:ascii="Calibri" w:eastAsia="Calibri" w:hAnsi="Calibri" w:cs="Calibri"/>
          <w:lang w:bidi="bs-Latn-BA"/>
        </w:rPr>
        <w:t>raspoloživim</w:t>
      </w:r>
      <w:r w:rsidRPr="00531BD4">
        <w:rPr>
          <w:rFonts w:ascii="Calibri" w:eastAsia="Calibri" w:hAnsi="Calibri" w:cs="Calibri"/>
        </w:rPr>
        <w:t xml:space="preserve"> </w:t>
      </w:r>
      <w:r w:rsidRPr="00531BD4">
        <w:rPr>
          <w:rFonts w:ascii="Calibri" w:eastAsia="Calibri" w:hAnsi="Calibri" w:cs="Calibri"/>
          <w:lang w:bidi="bs-Latn-BA"/>
        </w:rPr>
        <w:t>tehnikama</w:t>
      </w:r>
      <w:r w:rsidRPr="00531BD4">
        <w:rPr>
          <w:rFonts w:ascii="Calibri" w:eastAsia="Calibri" w:hAnsi="Calibri" w:cs="Calibri"/>
        </w:rPr>
        <w:t xml:space="preserve"> </w:t>
      </w:r>
      <w:r w:rsidRPr="00531BD4">
        <w:rPr>
          <w:rFonts w:ascii="Calibri" w:eastAsia="Calibri" w:hAnsi="Calibri" w:cs="Calibri"/>
          <w:lang w:bidi="bs-Latn-BA"/>
        </w:rPr>
        <w:t>(NRT)</w:t>
      </w:r>
      <w:r w:rsidRPr="00531BD4">
        <w:rPr>
          <w:rFonts w:ascii="Calibri" w:eastAsia="Calibri" w:hAnsi="Calibri" w:cs="Calibri"/>
        </w:rPr>
        <w:t xml:space="preserve"> </w:t>
      </w:r>
      <w:r w:rsidR="000C4CAD" w:rsidRPr="00531BD4">
        <w:t>.</w:t>
      </w:r>
    </w:p>
    <w:p w14:paraId="6C90243B" w14:textId="4326F8DE" w:rsidR="00AA2B9F" w:rsidRPr="000C4CAD" w:rsidRDefault="00AA2B9F" w:rsidP="000C4CAD">
      <w:pPr>
        <w:tabs>
          <w:tab w:val="left" w:pos="1950"/>
        </w:tabs>
        <w:spacing w:after="0"/>
        <w:ind w:left="360"/>
        <w:jc w:val="both"/>
      </w:pPr>
      <w:r>
        <w:rPr>
          <w:rFonts w:ascii="Calibri" w:eastAsia="Calibri" w:hAnsi="Calibri" w:cs="Calibri"/>
          <w:color w:val="000000"/>
          <w:lang w:bidi="hr-HR"/>
        </w:rPr>
        <w:t>Opis</w:t>
      </w:r>
      <w:r>
        <w:rPr>
          <w:rFonts w:ascii="Calibri" w:eastAsia="Calibri" w:hAnsi="Calibri" w:cs="Calibri"/>
          <w:color w:val="000000"/>
        </w:rPr>
        <w:t xml:space="preserve">  </w:t>
      </w:r>
      <w:r>
        <w:rPr>
          <w:rFonts w:ascii="Calibri" w:eastAsia="Calibri" w:hAnsi="Calibri" w:cs="Calibri"/>
          <w:color w:val="000000"/>
          <w:lang w:bidi="hr-HR"/>
        </w:rPr>
        <w:t>postojeće</w:t>
      </w:r>
      <w:r>
        <w:rPr>
          <w:rFonts w:ascii="Calibri" w:eastAsia="Calibri" w:hAnsi="Calibri" w:cs="Calibri"/>
          <w:color w:val="000000"/>
        </w:rPr>
        <w:t xml:space="preserve"> </w:t>
      </w:r>
      <w:r>
        <w:rPr>
          <w:rFonts w:ascii="Calibri" w:eastAsia="Calibri" w:hAnsi="Calibri" w:cs="Calibri"/>
          <w:color w:val="000000"/>
          <w:lang w:bidi="hr-HR"/>
        </w:rPr>
        <w:t>ili</w:t>
      </w:r>
      <w:r>
        <w:rPr>
          <w:rFonts w:ascii="Calibri" w:eastAsia="Calibri" w:hAnsi="Calibri" w:cs="Calibri"/>
          <w:color w:val="000000"/>
        </w:rPr>
        <w:t xml:space="preserve"> </w:t>
      </w:r>
      <w:r>
        <w:rPr>
          <w:rFonts w:ascii="Calibri" w:eastAsia="Calibri" w:hAnsi="Calibri" w:cs="Calibri"/>
          <w:color w:val="000000"/>
          <w:lang w:bidi="hr-HR"/>
        </w:rPr>
        <w:t>predložene</w:t>
      </w:r>
      <w:r>
        <w:rPr>
          <w:rFonts w:ascii="Calibri" w:eastAsia="Calibri" w:hAnsi="Calibri" w:cs="Calibri"/>
          <w:color w:val="000000"/>
        </w:rPr>
        <w:t xml:space="preserve"> </w:t>
      </w:r>
      <w:r>
        <w:rPr>
          <w:rFonts w:ascii="Calibri" w:eastAsia="Calibri" w:hAnsi="Calibri" w:cs="Calibri"/>
          <w:color w:val="000000"/>
          <w:lang w:bidi="hr-HR"/>
        </w:rPr>
        <w:t>mjere</w:t>
      </w:r>
      <w:r>
        <w:rPr>
          <w:rFonts w:ascii="Calibri" w:eastAsia="Calibri" w:hAnsi="Calibri" w:cs="Calibri"/>
          <w:color w:val="000000"/>
        </w:rPr>
        <w:t xml:space="preserve"> </w:t>
      </w:r>
      <w:r>
        <w:rPr>
          <w:rFonts w:ascii="Calibri" w:eastAsia="Calibri" w:hAnsi="Calibri" w:cs="Calibri"/>
          <w:color w:val="000000"/>
          <w:lang w:bidi="hr-HR"/>
        </w:rPr>
        <w:t>s</w:t>
      </w:r>
      <w:r>
        <w:rPr>
          <w:rFonts w:ascii="Calibri" w:eastAsia="Calibri" w:hAnsi="Calibri" w:cs="Calibri"/>
          <w:color w:val="000000"/>
        </w:rPr>
        <w:t xml:space="preserve"> </w:t>
      </w:r>
      <w:r>
        <w:rPr>
          <w:rFonts w:ascii="Calibri" w:eastAsia="Calibri" w:hAnsi="Calibri" w:cs="Calibri"/>
          <w:color w:val="000000"/>
          <w:lang w:bidi="hr-HR"/>
        </w:rPr>
        <w:t>ciljem</w:t>
      </w:r>
      <w:r>
        <w:rPr>
          <w:rFonts w:ascii="Calibri" w:eastAsia="Calibri" w:hAnsi="Calibri" w:cs="Calibri"/>
          <w:color w:val="000000"/>
        </w:rPr>
        <w:t xml:space="preserve"> </w:t>
      </w:r>
      <w:r>
        <w:rPr>
          <w:rFonts w:ascii="Calibri" w:eastAsia="Calibri" w:hAnsi="Calibri" w:cs="Calibri"/>
          <w:color w:val="000000"/>
          <w:lang w:bidi="hr-HR"/>
        </w:rPr>
        <w:t>da</w:t>
      </w:r>
      <w:r>
        <w:rPr>
          <w:rFonts w:ascii="Calibri" w:eastAsia="Calibri" w:hAnsi="Calibri" w:cs="Calibri"/>
          <w:color w:val="000000"/>
        </w:rPr>
        <w:t xml:space="preserve"> </w:t>
      </w:r>
      <w:r>
        <w:rPr>
          <w:rFonts w:ascii="Calibri" w:eastAsia="Calibri" w:hAnsi="Calibri" w:cs="Calibri"/>
          <w:color w:val="000000"/>
          <w:lang w:bidi="hr-HR"/>
        </w:rPr>
        <w:t>se</w:t>
      </w:r>
      <w:r>
        <w:rPr>
          <w:rFonts w:ascii="Calibri" w:eastAsia="Calibri" w:hAnsi="Calibri" w:cs="Calibri"/>
          <w:color w:val="000000"/>
        </w:rPr>
        <w:t xml:space="preserve"> </w:t>
      </w:r>
      <w:r>
        <w:rPr>
          <w:rFonts w:ascii="Calibri" w:eastAsia="Calibri" w:hAnsi="Calibri" w:cs="Calibri"/>
          <w:color w:val="000000"/>
          <w:lang w:bidi="hr-HR"/>
        </w:rPr>
        <w:t>osigura:</w:t>
      </w:r>
      <w:r>
        <w:rPr>
          <w:rFonts w:ascii="Calibri" w:eastAsia="Calibri" w:hAnsi="Calibri" w:cs="Calibri"/>
          <w:color w:val="000000"/>
        </w:rPr>
        <w:t xml:space="preserve"> </w:t>
      </w:r>
    </w:p>
    <w:p w14:paraId="70CACB44" w14:textId="77777777" w:rsidR="00AA2B9F" w:rsidRPr="009B0A5B" w:rsidRDefault="00AA2B9F" w:rsidP="00AA2B9F">
      <w:pPr>
        <w:numPr>
          <w:ilvl w:val="0"/>
          <w:numId w:val="6"/>
        </w:numPr>
        <w:spacing w:before="161" w:after="0" w:line="269" w:lineRule="atLeast"/>
        <w:ind w:right="-200"/>
        <w:jc w:val="both"/>
        <w:rPr>
          <w:rFonts w:ascii="Calibri" w:eastAsia="Calibri" w:hAnsi="Calibri" w:cs="Calibri"/>
          <w:lang w:val="sv-SE"/>
        </w:rPr>
      </w:pPr>
      <w:r w:rsidRPr="009B0A5B">
        <w:rPr>
          <w:rFonts w:ascii="Calibri" w:eastAsia="Calibri" w:hAnsi="Calibri" w:cs="Calibri"/>
          <w:color w:val="000000"/>
          <w:lang w:val="sv-SE" w:bidi="hr-HR"/>
        </w:rPr>
        <w:t>Nabavka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uglja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sa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manjim</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procentom</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sumpora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kako</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bi</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se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smanjile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emisije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u</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zrak</w:t>
      </w:r>
      <w:r w:rsidRPr="009B0A5B">
        <w:rPr>
          <w:rFonts w:ascii="Calibri" w:eastAsia="Calibri" w:hAnsi="Calibri" w:cs="Calibri"/>
          <w:color w:val="000000"/>
          <w:lang w:val="sv-SE"/>
        </w:rPr>
        <w:t xml:space="preserve"> </w:t>
      </w:r>
    </w:p>
    <w:p w14:paraId="2EE4D5D5" w14:textId="4023E688" w:rsidR="00AA2B9F" w:rsidRPr="009B0A5B" w:rsidRDefault="00AA2B9F" w:rsidP="00AA2B9F">
      <w:pPr>
        <w:numPr>
          <w:ilvl w:val="0"/>
          <w:numId w:val="6"/>
        </w:numPr>
        <w:spacing w:before="161" w:after="0" w:line="290" w:lineRule="atLeast"/>
        <w:ind w:right="-46"/>
        <w:rPr>
          <w:rFonts w:ascii="Calibri" w:eastAsia="Calibri" w:hAnsi="Calibri" w:cs="Calibri"/>
          <w:lang w:val="sv-SE"/>
        </w:rPr>
      </w:pPr>
      <w:r w:rsidRPr="009B0A5B">
        <w:rPr>
          <w:rFonts w:ascii="Calibri" w:eastAsia="Calibri" w:hAnsi="Calibri" w:cs="Calibri"/>
          <w:color w:val="000000"/>
          <w:lang w:val="sv-SE" w:bidi="hr-HR"/>
        </w:rPr>
        <w:t>Izvršiti</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optimizaciju</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kontrole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tehnoloških</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procesa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prema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tehnološkim</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mogućnostima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instaliranog</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sistema,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te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isti</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održavati</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u</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granicama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optimalnog</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funkcioni</w:t>
      </w:r>
      <w:r>
        <w:rPr>
          <w:rFonts w:ascii="Calibri" w:eastAsia="Calibri" w:hAnsi="Calibri" w:cs="Calibri"/>
          <w:color w:val="000000"/>
          <w:lang w:val="sv-SE" w:bidi="hr-HR"/>
        </w:rPr>
        <w:t>r</w:t>
      </w:r>
      <w:r w:rsidRPr="009B0A5B">
        <w:rPr>
          <w:rFonts w:ascii="Calibri" w:eastAsia="Calibri" w:hAnsi="Calibri" w:cs="Calibri"/>
          <w:color w:val="000000"/>
          <w:lang w:val="sv-SE" w:bidi="hr-HR"/>
        </w:rPr>
        <w:t>anja,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prema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NRT</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tehnikama</w:t>
      </w:r>
      <w:r w:rsidRPr="009B0A5B">
        <w:rPr>
          <w:rFonts w:ascii="Calibri" w:eastAsia="Calibri" w:hAnsi="Calibri" w:cs="Calibri"/>
          <w:color w:val="000000"/>
          <w:lang w:val="sv-SE"/>
        </w:rPr>
        <w:t xml:space="preserve"> </w:t>
      </w:r>
    </w:p>
    <w:p w14:paraId="1BEC1609" w14:textId="77777777" w:rsidR="00AA2B9F" w:rsidRPr="009B0A5B" w:rsidRDefault="00AA2B9F" w:rsidP="00AA2B9F">
      <w:pPr>
        <w:numPr>
          <w:ilvl w:val="0"/>
          <w:numId w:val="6"/>
        </w:numPr>
        <w:spacing w:before="162" w:after="0" w:line="290" w:lineRule="atLeast"/>
        <w:ind w:right="-6"/>
        <w:rPr>
          <w:rFonts w:ascii="Calibri" w:eastAsia="Calibri" w:hAnsi="Calibri" w:cs="Calibri"/>
          <w:lang w:val="sv-SE"/>
        </w:rPr>
      </w:pPr>
      <w:r w:rsidRPr="009B0A5B">
        <w:rPr>
          <w:rFonts w:ascii="Calibri" w:eastAsia="Calibri" w:hAnsi="Calibri" w:cs="Calibri"/>
          <w:color w:val="000000"/>
          <w:lang w:val="sv-SE" w:bidi="hr-HR"/>
        </w:rPr>
        <w:t>Uspostava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sistema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za</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upravljanje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potrošnjom</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električne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energije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u</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cilju</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njene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racionalne</w:t>
      </w:r>
      <w:r w:rsidRPr="009B0A5B">
        <w:rPr>
          <w:rFonts w:ascii="Calibri" w:eastAsia="Calibri" w:hAnsi="Calibri" w:cs="Calibri"/>
          <w:color w:val="000000"/>
          <w:lang w:val="sv-SE"/>
        </w:rPr>
        <w:t xml:space="preserve"> </w:t>
      </w:r>
      <w:r w:rsidRPr="009B0A5B">
        <w:rPr>
          <w:rFonts w:ascii="Calibri" w:eastAsia="Calibri" w:hAnsi="Calibri" w:cs="Calibri"/>
          <w:color w:val="000000"/>
          <w:lang w:val="sv-SE" w:bidi="hr-HR"/>
        </w:rPr>
        <w:t>potrošnje.</w:t>
      </w:r>
      <w:r w:rsidRPr="009B0A5B">
        <w:rPr>
          <w:rFonts w:ascii="Calibri" w:eastAsia="Calibri" w:hAnsi="Calibri" w:cs="Calibri"/>
          <w:b/>
          <w:bCs/>
          <w:color w:val="000000"/>
          <w:lang w:val="sv-SE"/>
        </w:rPr>
        <w:t xml:space="preserve"> </w:t>
      </w:r>
    </w:p>
    <w:p w14:paraId="6A4E5880" w14:textId="77777777" w:rsidR="00AA2B9F" w:rsidRDefault="00AA2B9F" w:rsidP="00AA2B9F">
      <w:pPr>
        <w:tabs>
          <w:tab w:val="left" w:pos="1950"/>
        </w:tabs>
        <w:spacing w:after="0"/>
        <w:jc w:val="both"/>
      </w:pPr>
      <w:r>
        <w:t>Sve aktivnosti i mjere za smanjenje nastanka emisija se dijele (prema segmentu okoliša na koji se odnose) u tri kategorije i to: emisija u zrak, emisija u vodu, nastanka otpada i buke.</w:t>
      </w:r>
    </w:p>
    <w:p w14:paraId="1A6F166E" w14:textId="77777777" w:rsidR="00207FBE" w:rsidRPr="00AA2B9F" w:rsidRDefault="00207FBE" w:rsidP="00207FBE">
      <w:pPr>
        <w:tabs>
          <w:tab w:val="left" w:pos="1950"/>
        </w:tabs>
        <w:spacing w:after="0"/>
        <w:ind w:left="360"/>
        <w:jc w:val="both"/>
      </w:pPr>
    </w:p>
    <w:p w14:paraId="79D9FFD4" w14:textId="07A49B6E" w:rsidR="00207FBE" w:rsidRPr="00207FBE" w:rsidRDefault="00207FBE" w:rsidP="00207FBE">
      <w:pPr>
        <w:tabs>
          <w:tab w:val="left" w:pos="1950"/>
        </w:tabs>
        <w:spacing w:after="0"/>
        <w:ind w:left="360"/>
        <w:jc w:val="both"/>
        <w:rPr>
          <w:b/>
          <w:bCs/>
        </w:rPr>
      </w:pPr>
      <w:r w:rsidRPr="00207FBE">
        <w:rPr>
          <w:b/>
          <w:bCs/>
        </w:rPr>
        <w:t>5.1. Mjere za smanjenje emisije u zrak</w:t>
      </w:r>
    </w:p>
    <w:p w14:paraId="484F82CA" w14:textId="7C2646F4" w:rsidR="00610B4E" w:rsidRPr="00531BD4" w:rsidRDefault="00207FBE" w:rsidP="00531BD4">
      <w:pPr>
        <w:tabs>
          <w:tab w:val="left" w:pos="1950"/>
        </w:tabs>
        <w:spacing w:after="0"/>
        <w:ind w:left="360"/>
        <w:jc w:val="both"/>
      </w:pPr>
      <w:r>
        <w:t xml:space="preserve">Postojeća mjera za smanjenje emisija prašine, odnosno čvrstih čestica je multiciklonski sakupljač. Multiciklonski sakupljači su najjednostavniji i najekonomočniji tip mehaničkih sakupljača prašine koji se danas koriste. Multiciklon objedinjava više ciklonskih cijevi (ciklona) u jednu zajedničku </w:t>
      </w:r>
      <w:r>
        <w:lastRenderedPageBreak/>
        <w:t>cjelinu. Osnovna konstrukcija multicikloona sastoji se od kućišta i sabirnog lijevka. Jedino mjesto nastanka emisije u zrak je 65-metarski dimnjak koji služi za odvod dimnih plinova iz kotlovnice. Prečišćeni dimni plinovi se iz multiciklona odvode u odsisni ventilator dimnih plinova, brzinom od oko 6m/s, a zatim se dimnjačom odvode u dimnjak. Ukoliko bi se u narednim godinama značajno povećao konzum, menadžment preduzeća „UNIS – ENERGETIKA“ d.o.o. planira nabavku uređaja za regulaciju dimnih plinova i zraka na kotlovima K4 i K5. Time bi se mogle učiniti značajno smanjenje emisija u zrak</w:t>
      </w:r>
      <w:r w:rsidR="000E26DC">
        <w:t xml:space="preserve"> </w:t>
      </w:r>
      <w:r>
        <w:t>i uštede u gorivu.</w:t>
      </w:r>
      <w:r w:rsidR="00610B4E" w:rsidRPr="00610B4E">
        <w:rPr>
          <w:rFonts w:ascii="Calibri" w:eastAsia="Calibri" w:hAnsi="Calibri" w:cs="Calibri"/>
          <w:color w:val="000000"/>
          <w:lang w:bidi="bs-Latn-BA"/>
        </w:rPr>
        <w:t>Za</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sprečavanje</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nedozvoljenih</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emisija</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u</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zrak</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potrebno</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je</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primjeniti</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sljedeće</w:t>
      </w:r>
      <w:r w:rsidR="00610B4E" w:rsidRPr="00610B4E">
        <w:rPr>
          <w:rFonts w:ascii="Calibri" w:eastAsia="Calibri" w:hAnsi="Calibri" w:cs="Calibri"/>
          <w:color w:val="000000"/>
        </w:rPr>
        <w:t xml:space="preserve"> </w:t>
      </w:r>
      <w:r w:rsidR="00610B4E" w:rsidRPr="00610B4E">
        <w:rPr>
          <w:rFonts w:ascii="Calibri" w:eastAsia="Calibri" w:hAnsi="Calibri" w:cs="Calibri"/>
          <w:color w:val="000000"/>
          <w:lang w:bidi="bs-Latn-BA"/>
        </w:rPr>
        <w:t>mjere:</w:t>
      </w:r>
      <w:r w:rsidR="00610B4E" w:rsidRPr="00610B4E">
        <w:rPr>
          <w:rFonts w:ascii="Calibri" w:eastAsia="Calibri" w:hAnsi="Calibri" w:cs="Calibri"/>
          <w:color w:val="000000"/>
        </w:rPr>
        <w:t xml:space="preserve"> </w:t>
      </w:r>
    </w:p>
    <w:p w14:paraId="6B1347EC" w14:textId="7BF952DB" w:rsidR="00610B4E" w:rsidRPr="007569A7" w:rsidRDefault="00610B4E" w:rsidP="007569A7">
      <w:pPr>
        <w:numPr>
          <w:ilvl w:val="0"/>
          <w:numId w:val="5"/>
        </w:numPr>
        <w:spacing w:before="162" w:after="0" w:line="269" w:lineRule="atLeast"/>
        <w:ind w:right="-200"/>
        <w:jc w:val="both"/>
        <w:rPr>
          <w:rFonts w:ascii="Calibri" w:eastAsia="Calibri" w:hAnsi="Calibri" w:cs="Calibri"/>
        </w:rPr>
      </w:pPr>
      <w:r w:rsidRPr="00610B4E">
        <w:rPr>
          <w:rFonts w:ascii="Calibri" w:eastAsia="Calibri" w:hAnsi="Calibri" w:cs="Calibri"/>
          <w:color w:val="000000"/>
          <w:lang w:bidi="bs-Latn-BA"/>
        </w:rPr>
        <w:t>redovno</w:t>
      </w:r>
      <w:r w:rsidRPr="00610B4E">
        <w:rPr>
          <w:rFonts w:ascii="Calibri" w:eastAsia="Calibri" w:hAnsi="Calibri" w:cs="Calibri"/>
          <w:color w:val="000000"/>
        </w:rPr>
        <w:t xml:space="preserve"> </w:t>
      </w:r>
      <w:r w:rsidRPr="00610B4E">
        <w:rPr>
          <w:rFonts w:ascii="Calibri" w:eastAsia="Calibri" w:hAnsi="Calibri" w:cs="Calibri"/>
          <w:color w:val="000000"/>
          <w:lang w:bidi="bs-Latn-BA"/>
        </w:rPr>
        <w:t>održavanje</w:t>
      </w:r>
      <w:r w:rsidRPr="00610B4E">
        <w:rPr>
          <w:rFonts w:ascii="Calibri" w:eastAsia="Calibri" w:hAnsi="Calibri" w:cs="Calibri"/>
          <w:color w:val="000000"/>
        </w:rPr>
        <w:t xml:space="preserve"> </w:t>
      </w:r>
      <w:r w:rsidRPr="00610B4E">
        <w:rPr>
          <w:rFonts w:ascii="Calibri" w:eastAsia="Calibri" w:hAnsi="Calibri" w:cs="Calibri"/>
          <w:color w:val="000000"/>
          <w:lang w:bidi="bs-Latn-BA"/>
        </w:rPr>
        <w:t>kotlovinskog</w:t>
      </w:r>
      <w:r w:rsidRPr="00610B4E">
        <w:rPr>
          <w:rFonts w:ascii="Calibri" w:eastAsia="Calibri" w:hAnsi="Calibri" w:cs="Calibri"/>
          <w:color w:val="000000"/>
        </w:rPr>
        <w:t xml:space="preserve"> </w:t>
      </w:r>
      <w:r w:rsidRPr="00610B4E">
        <w:rPr>
          <w:rFonts w:ascii="Calibri" w:eastAsia="Calibri" w:hAnsi="Calibri" w:cs="Calibri"/>
          <w:color w:val="000000"/>
          <w:lang w:bidi="bs-Latn-BA"/>
        </w:rPr>
        <w:t>postrojenja</w:t>
      </w:r>
      <w:r w:rsidRPr="00610B4E">
        <w:rPr>
          <w:rFonts w:ascii="Calibri" w:eastAsia="Calibri" w:hAnsi="Calibri" w:cs="Calibri"/>
          <w:color w:val="000000"/>
        </w:rPr>
        <w:t xml:space="preserve"> </w:t>
      </w:r>
      <w:r w:rsidRPr="00610B4E">
        <w:rPr>
          <w:rFonts w:ascii="Calibri" w:eastAsia="Calibri" w:hAnsi="Calibri" w:cs="Calibri"/>
          <w:color w:val="000000"/>
          <w:lang w:bidi="bs-Latn-BA"/>
        </w:rPr>
        <w:t>kao</w:t>
      </w:r>
      <w:r w:rsidRPr="00610B4E">
        <w:rPr>
          <w:rFonts w:ascii="Calibri" w:eastAsia="Calibri" w:hAnsi="Calibri" w:cs="Calibri"/>
          <w:color w:val="000000"/>
        </w:rPr>
        <w:t xml:space="preserve"> </w:t>
      </w:r>
      <w:r w:rsidRPr="00610B4E">
        <w:rPr>
          <w:rFonts w:ascii="Calibri" w:eastAsia="Calibri" w:hAnsi="Calibri" w:cs="Calibri"/>
          <w:color w:val="000000"/>
          <w:lang w:bidi="bs-Latn-BA"/>
        </w:rPr>
        <w:t>i</w:t>
      </w:r>
      <w:r w:rsidRPr="00610B4E">
        <w:rPr>
          <w:rFonts w:ascii="Calibri" w:eastAsia="Calibri" w:hAnsi="Calibri" w:cs="Calibri"/>
          <w:color w:val="000000"/>
        </w:rPr>
        <w:t xml:space="preserve"> </w:t>
      </w:r>
      <w:r w:rsidRPr="00610B4E">
        <w:rPr>
          <w:rFonts w:ascii="Calibri" w:eastAsia="Calibri" w:hAnsi="Calibri" w:cs="Calibri"/>
          <w:color w:val="000000"/>
          <w:lang w:bidi="bs-Latn-BA"/>
        </w:rPr>
        <w:t>opreme</w:t>
      </w:r>
      <w:r w:rsidRPr="00610B4E">
        <w:rPr>
          <w:rFonts w:ascii="Calibri" w:eastAsia="Calibri" w:hAnsi="Calibri" w:cs="Calibri"/>
          <w:color w:val="000000"/>
        </w:rPr>
        <w:t xml:space="preserve"> </w:t>
      </w:r>
      <w:r w:rsidRPr="00610B4E">
        <w:rPr>
          <w:rFonts w:ascii="Calibri" w:eastAsia="Calibri" w:hAnsi="Calibri" w:cs="Calibri"/>
          <w:color w:val="000000"/>
          <w:lang w:bidi="bs-Latn-BA"/>
        </w:rPr>
        <w:t>za</w:t>
      </w:r>
      <w:r w:rsidRPr="00610B4E">
        <w:rPr>
          <w:rFonts w:ascii="Calibri" w:eastAsia="Calibri" w:hAnsi="Calibri" w:cs="Calibri"/>
          <w:color w:val="000000"/>
        </w:rPr>
        <w:t xml:space="preserve"> </w:t>
      </w:r>
      <w:r w:rsidRPr="00610B4E">
        <w:rPr>
          <w:rFonts w:ascii="Calibri" w:eastAsia="Calibri" w:hAnsi="Calibri" w:cs="Calibri"/>
          <w:color w:val="000000"/>
          <w:lang w:bidi="bs-Latn-BA"/>
        </w:rPr>
        <w:t>smanjenje</w:t>
      </w:r>
      <w:r w:rsidRPr="00610B4E">
        <w:rPr>
          <w:rFonts w:ascii="Calibri" w:eastAsia="Calibri" w:hAnsi="Calibri" w:cs="Calibri"/>
          <w:color w:val="000000"/>
        </w:rPr>
        <w:t xml:space="preserve"> </w:t>
      </w:r>
      <w:r w:rsidRPr="00610B4E">
        <w:rPr>
          <w:rFonts w:ascii="Calibri" w:eastAsia="Calibri" w:hAnsi="Calibri" w:cs="Calibri"/>
          <w:color w:val="000000"/>
          <w:lang w:bidi="bs-Latn-BA"/>
        </w:rPr>
        <w:t>emisija</w:t>
      </w:r>
      <w:r w:rsidRPr="00610B4E">
        <w:rPr>
          <w:rFonts w:ascii="Calibri" w:eastAsia="Calibri" w:hAnsi="Calibri" w:cs="Calibri"/>
          <w:color w:val="000000"/>
        </w:rPr>
        <w:t xml:space="preserve"> </w:t>
      </w:r>
      <w:r w:rsidR="007569A7">
        <w:rPr>
          <w:rFonts w:ascii="Calibri" w:eastAsia="Calibri" w:hAnsi="Calibri" w:cs="Calibri"/>
        </w:rPr>
        <w:t>u zrak.</w:t>
      </w:r>
    </w:p>
    <w:p w14:paraId="5DBB1108" w14:textId="77777777" w:rsidR="00610B4E" w:rsidRPr="00610B4E" w:rsidRDefault="00610B4E" w:rsidP="00610B4E">
      <w:pPr>
        <w:numPr>
          <w:ilvl w:val="0"/>
          <w:numId w:val="5"/>
        </w:numPr>
        <w:spacing w:before="162" w:after="0" w:line="290" w:lineRule="atLeast"/>
        <w:ind w:right="501"/>
        <w:rPr>
          <w:rFonts w:ascii="Calibri" w:eastAsia="Calibri" w:hAnsi="Calibri" w:cs="Calibri"/>
        </w:rPr>
      </w:pPr>
      <w:r w:rsidRPr="00610B4E">
        <w:rPr>
          <w:rFonts w:ascii="Calibri" w:eastAsia="Calibri" w:hAnsi="Calibri" w:cs="Calibri"/>
          <w:color w:val="000000"/>
          <w:lang w:bidi="bs-Latn-BA"/>
        </w:rPr>
        <w:t>redovno</w:t>
      </w:r>
      <w:r w:rsidRPr="00610B4E">
        <w:rPr>
          <w:rFonts w:ascii="Calibri" w:eastAsia="Calibri" w:hAnsi="Calibri" w:cs="Calibri"/>
          <w:color w:val="000000"/>
        </w:rPr>
        <w:t xml:space="preserve"> </w:t>
      </w:r>
      <w:r w:rsidRPr="00610B4E">
        <w:rPr>
          <w:rFonts w:ascii="Calibri" w:eastAsia="Calibri" w:hAnsi="Calibri" w:cs="Calibri"/>
          <w:color w:val="000000"/>
          <w:lang w:bidi="bs-Latn-BA"/>
        </w:rPr>
        <w:t>održavanje</w:t>
      </w:r>
      <w:r w:rsidRPr="00610B4E">
        <w:rPr>
          <w:rFonts w:ascii="Calibri" w:eastAsia="Calibri" w:hAnsi="Calibri" w:cs="Calibri"/>
          <w:color w:val="000000"/>
        </w:rPr>
        <w:t xml:space="preserve"> </w:t>
      </w:r>
      <w:r w:rsidRPr="00610B4E">
        <w:rPr>
          <w:rFonts w:ascii="Calibri" w:eastAsia="Calibri" w:hAnsi="Calibri" w:cs="Calibri"/>
          <w:color w:val="000000"/>
          <w:lang w:bidi="bs-Latn-BA"/>
        </w:rPr>
        <w:t>protivpožarne</w:t>
      </w:r>
      <w:r w:rsidRPr="00610B4E">
        <w:rPr>
          <w:rFonts w:ascii="Calibri" w:eastAsia="Calibri" w:hAnsi="Calibri" w:cs="Calibri"/>
          <w:color w:val="000000"/>
        </w:rPr>
        <w:t xml:space="preserve"> </w:t>
      </w:r>
      <w:r w:rsidRPr="00610B4E">
        <w:rPr>
          <w:rFonts w:ascii="Calibri" w:eastAsia="Calibri" w:hAnsi="Calibri" w:cs="Calibri"/>
          <w:color w:val="000000"/>
          <w:lang w:bidi="bs-Latn-BA"/>
        </w:rPr>
        <w:t>opreme,</w:t>
      </w:r>
      <w:r w:rsidRPr="00610B4E">
        <w:rPr>
          <w:rFonts w:ascii="Calibri" w:eastAsia="Calibri" w:hAnsi="Calibri" w:cs="Calibri"/>
          <w:color w:val="000000"/>
        </w:rPr>
        <w:t xml:space="preserve"> </w:t>
      </w:r>
      <w:r w:rsidRPr="00610B4E">
        <w:rPr>
          <w:rFonts w:ascii="Calibri" w:eastAsia="Calibri" w:hAnsi="Calibri" w:cs="Calibri"/>
          <w:color w:val="000000"/>
          <w:lang w:bidi="bs-Latn-BA"/>
        </w:rPr>
        <w:t>te</w:t>
      </w:r>
      <w:r w:rsidRPr="00610B4E">
        <w:rPr>
          <w:rFonts w:ascii="Calibri" w:eastAsia="Calibri" w:hAnsi="Calibri" w:cs="Calibri"/>
          <w:color w:val="000000"/>
        </w:rPr>
        <w:t xml:space="preserve"> </w:t>
      </w:r>
      <w:r w:rsidRPr="00610B4E">
        <w:rPr>
          <w:rFonts w:ascii="Calibri" w:eastAsia="Calibri" w:hAnsi="Calibri" w:cs="Calibri"/>
          <w:color w:val="000000"/>
          <w:lang w:bidi="bs-Latn-BA"/>
        </w:rPr>
        <w:t>obuke</w:t>
      </w:r>
      <w:r w:rsidRPr="00610B4E">
        <w:rPr>
          <w:rFonts w:ascii="Calibri" w:eastAsia="Calibri" w:hAnsi="Calibri" w:cs="Calibri"/>
          <w:color w:val="000000"/>
        </w:rPr>
        <w:t xml:space="preserve"> </w:t>
      </w:r>
      <w:r w:rsidRPr="00610B4E">
        <w:rPr>
          <w:rFonts w:ascii="Calibri" w:eastAsia="Calibri" w:hAnsi="Calibri" w:cs="Calibri"/>
          <w:color w:val="000000"/>
          <w:lang w:bidi="bs-Latn-BA"/>
        </w:rPr>
        <w:t>zaposlenika</w:t>
      </w:r>
      <w:r w:rsidRPr="00610B4E">
        <w:rPr>
          <w:rFonts w:ascii="Calibri" w:eastAsia="Calibri" w:hAnsi="Calibri" w:cs="Calibri"/>
          <w:color w:val="000000"/>
        </w:rPr>
        <w:t xml:space="preserve"> </w:t>
      </w:r>
      <w:r w:rsidRPr="00610B4E">
        <w:rPr>
          <w:rFonts w:ascii="Calibri" w:eastAsia="Calibri" w:hAnsi="Calibri" w:cs="Calibri"/>
          <w:color w:val="000000"/>
          <w:lang w:bidi="bs-Latn-BA"/>
        </w:rPr>
        <w:t>iz</w:t>
      </w:r>
      <w:r w:rsidRPr="00610B4E">
        <w:rPr>
          <w:rFonts w:ascii="Calibri" w:eastAsia="Calibri" w:hAnsi="Calibri" w:cs="Calibri"/>
          <w:color w:val="000000"/>
        </w:rPr>
        <w:t xml:space="preserve"> </w:t>
      </w:r>
      <w:r w:rsidRPr="00610B4E">
        <w:rPr>
          <w:rFonts w:ascii="Calibri" w:eastAsia="Calibri" w:hAnsi="Calibri" w:cs="Calibri"/>
          <w:color w:val="000000"/>
          <w:lang w:bidi="bs-Latn-BA"/>
        </w:rPr>
        <w:t>oblasti</w:t>
      </w:r>
      <w:r w:rsidRPr="00610B4E">
        <w:rPr>
          <w:rFonts w:ascii="Calibri" w:eastAsia="Calibri" w:hAnsi="Calibri" w:cs="Calibri"/>
          <w:color w:val="000000"/>
        </w:rPr>
        <w:t xml:space="preserve"> </w:t>
      </w:r>
      <w:r w:rsidRPr="00610B4E">
        <w:rPr>
          <w:rFonts w:ascii="Calibri" w:eastAsia="Calibri" w:hAnsi="Calibri" w:cs="Calibri"/>
          <w:color w:val="000000"/>
          <w:lang w:bidi="bs-Latn-BA"/>
        </w:rPr>
        <w:t>zaštite</w:t>
      </w:r>
      <w:r w:rsidRPr="00610B4E">
        <w:rPr>
          <w:rFonts w:ascii="Calibri" w:eastAsia="Calibri" w:hAnsi="Calibri" w:cs="Calibri"/>
          <w:color w:val="000000"/>
        </w:rPr>
        <w:t xml:space="preserve"> </w:t>
      </w:r>
      <w:r w:rsidRPr="00610B4E">
        <w:rPr>
          <w:rFonts w:ascii="Calibri" w:eastAsia="Calibri" w:hAnsi="Calibri" w:cs="Calibri"/>
          <w:color w:val="000000"/>
          <w:spacing w:val="1"/>
          <w:lang w:bidi="bs-Latn-BA"/>
        </w:rPr>
        <w:t>od</w:t>
      </w:r>
      <w:r w:rsidRPr="00610B4E">
        <w:rPr>
          <w:rFonts w:ascii="Calibri" w:eastAsia="Calibri" w:hAnsi="Calibri" w:cs="Calibri"/>
          <w:color w:val="000000"/>
        </w:rPr>
        <w:t xml:space="preserve"> </w:t>
      </w:r>
      <w:r w:rsidRPr="00610B4E">
        <w:rPr>
          <w:rFonts w:ascii="Calibri" w:eastAsia="Calibri" w:hAnsi="Calibri" w:cs="Calibri"/>
          <w:color w:val="000000"/>
          <w:lang w:bidi="bs-Latn-BA"/>
        </w:rPr>
        <w:t>požara</w:t>
      </w:r>
      <w:r w:rsidRPr="00610B4E">
        <w:rPr>
          <w:rFonts w:ascii="Calibri" w:eastAsia="Calibri" w:hAnsi="Calibri" w:cs="Calibri"/>
          <w:color w:val="000000"/>
        </w:rPr>
        <w:t xml:space="preserve"> </w:t>
      </w:r>
      <w:r w:rsidRPr="00610B4E">
        <w:rPr>
          <w:rFonts w:ascii="Calibri" w:eastAsia="Calibri" w:hAnsi="Calibri" w:cs="Calibri"/>
          <w:color w:val="000000"/>
          <w:lang w:bidi="bs-Latn-BA"/>
        </w:rPr>
        <w:t>i</w:t>
      </w:r>
      <w:r w:rsidRPr="00610B4E">
        <w:rPr>
          <w:rFonts w:ascii="Calibri" w:eastAsia="Calibri" w:hAnsi="Calibri" w:cs="Calibri"/>
          <w:color w:val="000000"/>
        </w:rPr>
        <w:t xml:space="preserve"> </w:t>
      </w:r>
      <w:r w:rsidRPr="00610B4E">
        <w:rPr>
          <w:rFonts w:ascii="Calibri" w:eastAsia="Calibri" w:hAnsi="Calibri" w:cs="Calibri"/>
          <w:color w:val="000000"/>
          <w:lang w:bidi="bs-Latn-BA"/>
        </w:rPr>
        <w:t>zaštite</w:t>
      </w:r>
      <w:r w:rsidRPr="00610B4E">
        <w:rPr>
          <w:rFonts w:ascii="Calibri" w:eastAsia="Calibri" w:hAnsi="Calibri" w:cs="Calibri"/>
          <w:color w:val="000000"/>
        </w:rPr>
        <w:t xml:space="preserve"> </w:t>
      </w:r>
      <w:r w:rsidRPr="00610B4E">
        <w:rPr>
          <w:rFonts w:ascii="Calibri" w:eastAsia="Calibri" w:hAnsi="Calibri" w:cs="Calibri"/>
          <w:color w:val="000000"/>
          <w:lang w:bidi="bs-Latn-BA"/>
        </w:rPr>
        <w:t>na</w:t>
      </w:r>
      <w:r w:rsidRPr="00610B4E">
        <w:rPr>
          <w:rFonts w:ascii="Calibri" w:eastAsia="Calibri" w:hAnsi="Calibri" w:cs="Calibri"/>
          <w:color w:val="000000"/>
        </w:rPr>
        <w:t xml:space="preserve"> </w:t>
      </w:r>
      <w:r w:rsidRPr="00610B4E">
        <w:rPr>
          <w:rFonts w:ascii="Calibri" w:eastAsia="Calibri" w:hAnsi="Calibri" w:cs="Calibri"/>
          <w:color w:val="000000"/>
          <w:lang w:bidi="bs-Latn-BA"/>
        </w:rPr>
        <w:t>radu</w:t>
      </w:r>
      <w:r w:rsidRPr="00610B4E">
        <w:rPr>
          <w:rFonts w:ascii="Calibri" w:eastAsia="Calibri" w:hAnsi="Calibri" w:cs="Calibri"/>
          <w:color w:val="000000"/>
        </w:rPr>
        <w:t xml:space="preserve"> </w:t>
      </w:r>
      <w:r w:rsidRPr="00610B4E">
        <w:rPr>
          <w:rFonts w:ascii="Calibri" w:eastAsia="Calibri" w:hAnsi="Calibri" w:cs="Calibri"/>
          <w:color w:val="000000"/>
          <w:lang w:bidi="bs-Latn-BA"/>
        </w:rPr>
        <w:t>u</w:t>
      </w:r>
      <w:r w:rsidRPr="00610B4E">
        <w:rPr>
          <w:rFonts w:ascii="Calibri" w:eastAsia="Calibri" w:hAnsi="Calibri" w:cs="Calibri"/>
          <w:color w:val="000000"/>
        </w:rPr>
        <w:t xml:space="preserve"> </w:t>
      </w:r>
      <w:r w:rsidRPr="00610B4E">
        <w:rPr>
          <w:rFonts w:ascii="Calibri" w:eastAsia="Calibri" w:hAnsi="Calibri" w:cs="Calibri"/>
          <w:color w:val="000000"/>
          <w:lang w:bidi="bs-Latn-BA"/>
        </w:rPr>
        <w:t>predviđenim</w:t>
      </w:r>
      <w:r w:rsidRPr="00610B4E">
        <w:rPr>
          <w:rFonts w:ascii="Calibri" w:eastAsia="Calibri" w:hAnsi="Calibri" w:cs="Calibri"/>
          <w:color w:val="000000"/>
        </w:rPr>
        <w:t xml:space="preserve"> </w:t>
      </w:r>
      <w:r w:rsidRPr="00610B4E">
        <w:rPr>
          <w:rFonts w:ascii="Calibri" w:eastAsia="Calibri" w:hAnsi="Calibri" w:cs="Calibri"/>
          <w:color w:val="000000"/>
          <w:lang w:bidi="bs-Latn-BA"/>
        </w:rPr>
        <w:t>zakonskim</w:t>
      </w:r>
      <w:r w:rsidRPr="00610B4E">
        <w:rPr>
          <w:rFonts w:ascii="Calibri" w:eastAsia="Calibri" w:hAnsi="Calibri" w:cs="Calibri"/>
          <w:color w:val="000000"/>
        </w:rPr>
        <w:t xml:space="preserve"> </w:t>
      </w:r>
      <w:r w:rsidRPr="00610B4E">
        <w:rPr>
          <w:rFonts w:ascii="Calibri" w:eastAsia="Calibri" w:hAnsi="Calibri" w:cs="Calibri"/>
          <w:color w:val="000000"/>
          <w:lang w:bidi="bs-Latn-BA"/>
        </w:rPr>
        <w:t>rokovima</w:t>
      </w:r>
      <w:r w:rsidRPr="00610B4E">
        <w:rPr>
          <w:rFonts w:ascii="Calibri" w:eastAsia="Calibri" w:hAnsi="Calibri" w:cs="Calibri"/>
          <w:color w:val="000000"/>
        </w:rPr>
        <w:t xml:space="preserve"> </w:t>
      </w:r>
      <w:r w:rsidRPr="00610B4E">
        <w:rPr>
          <w:rFonts w:ascii="Calibri" w:eastAsia="Calibri" w:hAnsi="Calibri" w:cs="Calibri"/>
          <w:color w:val="000000"/>
          <w:spacing w:val="1"/>
          <w:lang w:bidi="bs-Latn-BA"/>
        </w:rPr>
        <w:t>od</w:t>
      </w:r>
      <w:r w:rsidRPr="00610B4E">
        <w:rPr>
          <w:rFonts w:ascii="Calibri" w:eastAsia="Calibri" w:hAnsi="Calibri" w:cs="Calibri"/>
          <w:color w:val="000000"/>
        </w:rPr>
        <w:t xml:space="preserve"> </w:t>
      </w:r>
      <w:r w:rsidRPr="00610B4E">
        <w:rPr>
          <w:rFonts w:ascii="Calibri" w:eastAsia="Calibri" w:hAnsi="Calibri" w:cs="Calibri"/>
          <w:color w:val="000000"/>
          <w:lang w:bidi="bs-Latn-BA"/>
        </w:rPr>
        <w:t>strane</w:t>
      </w:r>
      <w:r w:rsidRPr="00610B4E">
        <w:rPr>
          <w:rFonts w:ascii="Calibri" w:eastAsia="Calibri" w:hAnsi="Calibri" w:cs="Calibri"/>
          <w:color w:val="000000"/>
        </w:rPr>
        <w:t xml:space="preserve"> </w:t>
      </w:r>
      <w:r w:rsidRPr="00610B4E">
        <w:rPr>
          <w:rFonts w:ascii="Calibri" w:eastAsia="Calibri" w:hAnsi="Calibri" w:cs="Calibri"/>
          <w:color w:val="000000"/>
          <w:lang w:bidi="bs-Latn-BA"/>
        </w:rPr>
        <w:t>ovlaštenih</w:t>
      </w:r>
      <w:r w:rsidRPr="00610B4E">
        <w:rPr>
          <w:rFonts w:ascii="Calibri" w:eastAsia="Calibri" w:hAnsi="Calibri" w:cs="Calibri"/>
          <w:color w:val="000000"/>
        </w:rPr>
        <w:t xml:space="preserve"> </w:t>
      </w:r>
      <w:r w:rsidRPr="00610B4E">
        <w:rPr>
          <w:rFonts w:ascii="Calibri" w:eastAsia="Calibri" w:hAnsi="Calibri" w:cs="Calibri"/>
          <w:color w:val="000000"/>
          <w:lang w:bidi="bs-Latn-BA"/>
        </w:rPr>
        <w:t>ustanova.</w:t>
      </w:r>
      <w:r w:rsidRPr="00610B4E">
        <w:rPr>
          <w:rFonts w:ascii="Calibri" w:eastAsia="Calibri" w:hAnsi="Calibri" w:cs="Calibri"/>
          <w:color w:val="000000"/>
        </w:rPr>
        <w:t xml:space="preserve"> </w:t>
      </w:r>
    </w:p>
    <w:p w14:paraId="7B0910CE" w14:textId="1C4D03F3" w:rsidR="00610B4E" w:rsidRPr="00610B4E" w:rsidRDefault="00610B4E" w:rsidP="00610B4E">
      <w:pPr>
        <w:spacing w:before="159" w:line="290" w:lineRule="atLeast"/>
        <w:ind w:right="155"/>
        <w:jc w:val="both"/>
        <w:rPr>
          <w:rFonts w:ascii="Calibri" w:eastAsia="Calibri" w:hAnsi="Calibri" w:cs="Calibri"/>
        </w:rPr>
      </w:pPr>
      <w:r w:rsidRPr="00610B4E">
        <w:rPr>
          <w:rFonts w:ascii="Calibri" w:eastAsia="Calibri" w:hAnsi="Calibri" w:cs="Calibri"/>
          <w:color w:val="000000"/>
          <w:lang w:bidi="bs-Latn-BA"/>
        </w:rPr>
        <w:t>Experimentalno</w:t>
      </w:r>
      <w:r w:rsidRPr="00610B4E">
        <w:rPr>
          <w:rFonts w:ascii="Calibri" w:eastAsia="Calibri" w:hAnsi="Calibri" w:cs="Calibri"/>
          <w:color w:val="000000"/>
        </w:rPr>
        <w:t xml:space="preserve"> </w:t>
      </w:r>
      <w:r w:rsidRPr="00610B4E">
        <w:rPr>
          <w:rFonts w:ascii="Calibri" w:eastAsia="Calibri" w:hAnsi="Calibri" w:cs="Calibri"/>
          <w:color w:val="000000"/>
          <w:lang w:bidi="bs-Latn-BA"/>
        </w:rPr>
        <w:t>je</w:t>
      </w:r>
      <w:r w:rsidRPr="00610B4E">
        <w:rPr>
          <w:rFonts w:ascii="Calibri" w:eastAsia="Calibri" w:hAnsi="Calibri" w:cs="Calibri"/>
          <w:color w:val="000000"/>
        </w:rPr>
        <w:t xml:space="preserve"> </w:t>
      </w:r>
      <w:r w:rsidRPr="00610B4E">
        <w:rPr>
          <w:rFonts w:ascii="Calibri" w:eastAsia="Calibri" w:hAnsi="Calibri" w:cs="Calibri"/>
          <w:color w:val="000000"/>
          <w:lang w:bidi="bs-Latn-BA"/>
        </w:rPr>
        <w:t>utvrđeno</w:t>
      </w:r>
      <w:r w:rsidRPr="00610B4E">
        <w:rPr>
          <w:rFonts w:ascii="Calibri" w:eastAsia="Calibri" w:hAnsi="Calibri" w:cs="Calibri"/>
          <w:color w:val="000000"/>
        </w:rPr>
        <w:t xml:space="preserve"> </w:t>
      </w:r>
      <w:r w:rsidRPr="00610B4E">
        <w:rPr>
          <w:rFonts w:ascii="Calibri" w:eastAsia="Calibri" w:hAnsi="Calibri" w:cs="Calibri"/>
          <w:color w:val="000000"/>
          <w:lang w:bidi="bs-Latn-BA"/>
        </w:rPr>
        <w:t>da</w:t>
      </w:r>
      <w:r w:rsidRPr="00610B4E">
        <w:rPr>
          <w:rFonts w:ascii="Calibri" w:eastAsia="Calibri" w:hAnsi="Calibri" w:cs="Calibri"/>
          <w:color w:val="000000"/>
        </w:rPr>
        <w:t xml:space="preserve"> </w:t>
      </w:r>
      <w:r w:rsidRPr="00610B4E">
        <w:rPr>
          <w:rFonts w:ascii="Calibri" w:eastAsia="Calibri" w:hAnsi="Calibri" w:cs="Calibri"/>
          <w:color w:val="000000"/>
          <w:lang w:bidi="bs-Latn-BA"/>
        </w:rPr>
        <w:t>se</w:t>
      </w:r>
      <w:r w:rsidRPr="00610B4E">
        <w:rPr>
          <w:rFonts w:ascii="Calibri" w:eastAsia="Calibri" w:hAnsi="Calibri" w:cs="Calibri"/>
          <w:color w:val="000000"/>
        </w:rPr>
        <w:t xml:space="preserve"> </w:t>
      </w:r>
      <w:r w:rsidRPr="00610B4E">
        <w:rPr>
          <w:rFonts w:ascii="Calibri" w:eastAsia="Calibri" w:hAnsi="Calibri" w:cs="Calibri"/>
          <w:color w:val="000000"/>
          <w:lang w:bidi="bs-Latn-BA"/>
        </w:rPr>
        <w:t>kod</w:t>
      </w:r>
      <w:r w:rsidRPr="00610B4E">
        <w:rPr>
          <w:rFonts w:ascii="Calibri" w:eastAsia="Calibri" w:hAnsi="Calibri" w:cs="Calibri"/>
          <w:color w:val="000000"/>
        </w:rPr>
        <w:t xml:space="preserve"> </w:t>
      </w:r>
      <w:r w:rsidRPr="00610B4E">
        <w:rPr>
          <w:rFonts w:ascii="Calibri" w:eastAsia="Calibri" w:hAnsi="Calibri" w:cs="Calibri"/>
          <w:color w:val="000000"/>
          <w:lang w:bidi="bs-Latn-BA"/>
        </w:rPr>
        <w:t>loženja</w:t>
      </w:r>
      <w:r w:rsidRPr="00610B4E">
        <w:rPr>
          <w:rFonts w:ascii="Calibri" w:eastAsia="Calibri" w:hAnsi="Calibri" w:cs="Calibri"/>
          <w:color w:val="000000"/>
        </w:rPr>
        <w:t xml:space="preserve"> </w:t>
      </w:r>
      <w:r w:rsidRPr="00610B4E">
        <w:rPr>
          <w:rFonts w:ascii="Calibri" w:eastAsia="Calibri" w:hAnsi="Calibri" w:cs="Calibri"/>
          <w:color w:val="000000"/>
          <w:lang w:bidi="bs-Latn-BA"/>
        </w:rPr>
        <w:t>u</w:t>
      </w:r>
      <w:r w:rsidRPr="00610B4E">
        <w:rPr>
          <w:rFonts w:ascii="Calibri" w:eastAsia="Calibri" w:hAnsi="Calibri" w:cs="Calibri"/>
          <w:color w:val="000000"/>
        </w:rPr>
        <w:t xml:space="preserve"> </w:t>
      </w:r>
      <w:r w:rsidRPr="00610B4E">
        <w:rPr>
          <w:rFonts w:ascii="Calibri" w:eastAsia="Calibri" w:hAnsi="Calibri" w:cs="Calibri"/>
          <w:color w:val="000000"/>
          <w:lang w:bidi="bs-Latn-BA"/>
        </w:rPr>
        <w:t>sloju</w:t>
      </w:r>
      <w:r w:rsidRPr="00610B4E">
        <w:rPr>
          <w:rFonts w:ascii="Calibri" w:eastAsia="Calibri" w:hAnsi="Calibri" w:cs="Calibri"/>
          <w:color w:val="000000"/>
        </w:rPr>
        <w:t xml:space="preserve"> </w:t>
      </w:r>
      <w:r w:rsidRPr="00610B4E">
        <w:rPr>
          <w:rFonts w:ascii="Calibri" w:eastAsia="Calibri" w:hAnsi="Calibri" w:cs="Calibri"/>
          <w:color w:val="000000"/>
          <w:lang w:bidi="bs-Latn-BA"/>
        </w:rPr>
        <w:t>(na</w:t>
      </w:r>
      <w:r w:rsidRPr="00610B4E">
        <w:rPr>
          <w:rFonts w:ascii="Calibri" w:eastAsia="Calibri" w:hAnsi="Calibri" w:cs="Calibri"/>
          <w:color w:val="000000"/>
        </w:rPr>
        <w:t xml:space="preserve"> </w:t>
      </w:r>
      <w:r w:rsidRPr="00610B4E">
        <w:rPr>
          <w:rFonts w:ascii="Calibri" w:eastAsia="Calibri" w:hAnsi="Calibri" w:cs="Calibri"/>
          <w:color w:val="000000"/>
          <w:lang w:bidi="bs-Latn-BA"/>
        </w:rPr>
        <w:t>roštilju)</w:t>
      </w:r>
      <w:r w:rsidRPr="00610B4E">
        <w:rPr>
          <w:rFonts w:ascii="Calibri" w:eastAsia="Calibri" w:hAnsi="Calibri" w:cs="Calibri"/>
          <w:color w:val="000000"/>
        </w:rPr>
        <w:t xml:space="preserve"> </w:t>
      </w:r>
      <w:r w:rsidRPr="00610B4E">
        <w:rPr>
          <w:rFonts w:ascii="Calibri" w:eastAsia="Calibri" w:hAnsi="Calibri" w:cs="Calibri"/>
          <w:color w:val="000000"/>
          <w:lang w:bidi="bs-Latn-BA"/>
        </w:rPr>
        <w:t>u</w:t>
      </w:r>
      <w:r w:rsidRPr="00610B4E">
        <w:rPr>
          <w:rFonts w:ascii="Calibri" w:eastAsia="Calibri" w:hAnsi="Calibri" w:cs="Calibri"/>
          <w:color w:val="000000"/>
        </w:rPr>
        <w:t xml:space="preserve"> </w:t>
      </w:r>
      <w:r w:rsidRPr="00610B4E">
        <w:rPr>
          <w:rFonts w:ascii="Calibri" w:eastAsia="Calibri" w:hAnsi="Calibri" w:cs="Calibri"/>
          <w:color w:val="000000"/>
          <w:lang w:bidi="bs-Latn-BA"/>
        </w:rPr>
        <w:t>kotlu</w:t>
      </w:r>
      <w:r w:rsidRPr="00610B4E">
        <w:rPr>
          <w:rFonts w:ascii="Calibri" w:eastAsia="Calibri" w:hAnsi="Calibri" w:cs="Calibri"/>
          <w:color w:val="000000"/>
        </w:rPr>
        <w:t xml:space="preserve"> </w:t>
      </w:r>
      <w:r w:rsidRPr="00610B4E">
        <w:rPr>
          <w:rFonts w:ascii="Calibri" w:eastAsia="Calibri" w:hAnsi="Calibri" w:cs="Calibri"/>
          <w:color w:val="000000"/>
          <w:lang w:bidi="bs-Latn-BA"/>
        </w:rPr>
        <w:t>izdvaja</w:t>
      </w:r>
      <w:r w:rsidRPr="00610B4E">
        <w:rPr>
          <w:rFonts w:ascii="Calibri" w:eastAsia="Calibri" w:hAnsi="Calibri" w:cs="Calibri"/>
          <w:color w:val="000000"/>
        </w:rPr>
        <w:t xml:space="preserve"> </w:t>
      </w:r>
      <w:r w:rsidRPr="00610B4E">
        <w:rPr>
          <w:rFonts w:ascii="Calibri" w:eastAsia="Calibri" w:hAnsi="Calibri" w:cs="Calibri"/>
          <w:color w:val="000000"/>
          <w:lang w:bidi="bs-Latn-BA"/>
        </w:rPr>
        <w:t>se</w:t>
      </w:r>
      <w:r w:rsidRPr="00610B4E">
        <w:rPr>
          <w:rFonts w:ascii="Calibri" w:eastAsia="Calibri" w:hAnsi="Calibri" w:cs="Calibri"/>
          <w:color w:val="000000"/>
        </w:rPr>
        <w:t xml:space="preserve"> </w:t>
      </w:r>
      <w:r w:rsidRPr="00610B4E">
        <w:rPr>
          <w:rFonts w:ascii="Calibri" w:eastAsia="Calibri" w:hAnsi="Calibri" w:cs="Calibri"/>
          <w:color w:val="000000"/>
          <w:lang w:bidi="bs-Latn-BA"/>
        </w:rPr>
        <w:t>oko</w:t>
      </w:r>
      <w:r w:rsidRPr="00610B4E">
        <w:rPr>
          <w:rFonts w:ascii="Calibri" w:eastAsia="Calibri" w:hAnsi="Calibri" w:cs="Calibri"/>
          <w:color w:val="000000"/>
        </w:rPr>
        <w:t xml:space="preserve"> </w:t>
      </w:r>
      <w:r w:rsidRPr="00610B4E">
        <w:rPr>
          <w:rFonts w:ascii="Calibri" w:eastAsia="Calibri" w:hAnsi="Calibri" w:cs="Calibri"/>
          <w:color w:val="000000"/>
          <w:lang w:bidi="bs-Latn-BA"/>
        </w:rPr>
        <w:t>90</w:t>
      </w:r>
      <w:r w:rsidRPr="00610B4E">
        <w:rPr>
          <w:rFonts w:ascii="Calibri" w:eastAsia="Calibri" w:hAnsi="Calibri" w:cs="Calibri"/>
          <w:color w:val="000000"/>
        </w:rPr>
        <w:t xml:space="preserve"> </w:t>
      </w:r>
      <w:r w:rsidRPr="00610B4E">
        <w:rPr>
          <w:rFonts w:ascii="Calibri" w:eastAsia="Calibri" w:hAnsi="Calibri" w:cs="Calibri"/>
          <w:color w:val="000000"/>
          <w:lang w:bidi="bs-Latn-BA"/>
        </w:rPr>
        <w:t>%</w:t>
      </w:r>
      <w:r w:rsidRPr="00610B4E">
        <w:rPr>
          <w:rFonts w:ascii="Calibri" w:eastAsia="Calibri" w:hAnsi="Calibri" w:cs="Calibri"/>
          <w:color w:val="000000"/>
        </w:rPr>
        <w:t xml:space="preserve"> </w:t>
      </w:r>
      <w:r w:rsidRPr="00610B4E">
        <w:rPr>
          <w:rFonts w:ascii="Calibri" w:eastAsia="Calibri" w:hAnsi="Calibri" w:cs="Calibri"/>
          <w:color w:val="000000"/>
          <w:lang w:bidi="bs-Latn-BA"/>
        </w:rPr>
        <w:t>pepela</w:t>
      </w:r>
      <w:r w:rsidRPr="00610B4E">
        <w:rPr>
          <w:rFonts w:ascii="Calibri" w:eastAsia="Calibri" w:hAnsi="Calibri" w:cs="Calibri"/>
          <w:color w:val="000000"/>
        </w:rPr>
        <w:t xml:space="preserve"> </w:t>
      </w:r>
      <w:r w:rsidRPr="00610B4E">
        <w:rPr>
          <w:rFonts w:ascii="Calibri" w:eastAsia="Calibri" w:hAnsi="Calibri" w:cs="Calibri"/>
          <w:color w:val="000000"/>
          <w:lang w:bidi="bs-Latn-BA"/>
        </w:rPr>
        <w:t>iz</w:t>
      </w:r>
      <w:r w:rsidRPr="00610B4E">
        <w:rPr>
          <w:rFonts w:ascii="Calibri" w:eastAsia="Calibri" w:hAnsi="Calibri" w:cs="Calibri"/>
          <w:color w:val="000000"/>
        </w:rPr>
        <w:t xml:space="preserve"> </w:t>
      </w:r>
      <w:r w:rsidRPr="00610B4E">
        <w:rPr>
          <w:rFonts w:ascii="Calibri" w:eastAsia="Calibri" w:hAnsi="Calibri" w:cs="Calibri"/>
          <w:color w:val="000000"/>
          <w:lang w:bidi="bs-Latn-BA"/>
        </w:rPr>
        <w:t>goriva</w:t>
      </w:r>
      <w:r w:rsidRPr="00610B4E">
        <w:rPr>
          <w:rFonts w:ascii="Calibri" w:eastAsia="Calibri" w:hAnsi="Calibri" w:cs="Calibri"/>
          <w:color w:val="000000"/>
        </w:rPr>
        <w:t xml:space="preserve"> </w:t>
      </w:r>
      <w:r w:rsidRPr="00610B4E">
        <w:rPr>
          <w:rFonts w:ascii="Calibri" w:eastAsia="Calibri" w:hAnsi="Calibri" w:cs="Calibri"/>
          <w:color w:val="000000"/>
          <w:lang w:bidi="bs-Latn-BA"/>
        </w:rPr>
        <w:t>u</w:t>
      </w:r>
      <w:r w:rsidRPr="00610B4E">
        <w:rPr>
          <w:rFonts w:ascii="Calibri" w:eastAsia="Calibri" w:hAnsi="Calibri" w:cs="Calibri"/>
          <w:color w:val="000000"/>
        </w:rPr>
        <w:t xml:space="preserve"> </w:t>
      </w:r>
      <w:r w:rsidRPr="00610B4E">
        <w:rPr>
          <w:rFonts w:ascii="Calibri" w:eastAsia="Calibri" w:hAnsi="Calibri" w:cs="Calibri"/>
          <w:color w:val="000000"/>
          <w:lang w:bidi="bs-Latn-BA"/>
        </w:rPr>
        <w:t>vidu</w:t>
      </w:r>
      <w:r w:rsidRPr="00610B4E">
        <w:rPr>
          <w:rFonts w:ascii="Calibri" w:eastAsia="Calibri" w:hAnsi="Calibri" w:cs="Calibri"/>
          <w:color w:val="000000"/>
        </w:rPr>
        <w:t xml:space="preserve"> </w:t>
      </w:r>
      <w:r w:rsidRPr="00610B4E">
        <w:rPr>
          <w:rFonts w:ascii="Calibri" w:eastAsia="Calibri" w:hAnsi="Calibri" w:cs="Calibri"/>
          <w:color w:val="000000"/>
          <w:lang w:bidi="bs-Latn-BA"/>
        </w:rPr>
        <w:t>šljake</w:t>
      </w:r>
      <w:r w:rsidRPr="00610B4E">
        <w:rPr>
          <w:rFonts w:ascii="Calibri" w:eastAsia="Calibri" w:hAnsi="Calibri" w:cs="Calibri"/>
          <w:color w:val="000000"/>
        </w:rPr>
        <w:t xml:space="preserve"> </w:t>
      </w:r>
      <w:r w:rsidRPr="00610B4E">
        <w:rPr>
          <w:rFonts w:ascii="Calibri" w:eastAsia="Calibri" w:hAnsi="Calibri" w:cs="Calibri"/>
          <w:color w:val="000000"/>
          <w:lang w:bidi="bs-Latn-BA"/>
        </w:rPr>
        <w:t>i</w:t>
      </w:r>
      <w:r w:rsidRPr="00610B4E">
        <w:rPr>
          <w:rFonts w:ascii="Calibri" w:eastAsia="Calibri" w:hAnsi="Calibri" w:cs="Calibri"/>
          <w:color w:val="000000"/>
        </w:rPr>
        <w:t xml:space="preserve"> </w:t>
      </w:r>
      <w:r w:rsidRPr="00610B4E">
        <w:rPr>
          <w:rFonts w:ascii="Calibri" w:eastAsia="Calibri" w:hAnsi="Calibri" w:cs="Calibri"/>
          <w:color w:val="000000"/>
          <w:lang w:bidi="bs-Latn-BA"/>
        </w:rPr>
        <w:t>pepela</w:t>
      </w:r>
      <w:r w:rsidRPr="00610B4E">
        <w:rPr>
          <w:rFonts w:ascii="Calibri" w:eastAsia="Calibri" w:hAnsi="Calibri" w:cs="Calibri"/>
          <w:color w:val="000000"/>
        </w:rPr>
        <w:t xml:space="preserve"> </w:t>
      </w:r>
      <w:r w:rsidRPr="00610B4E">
        <w:rPr>
          <w:rFonts w:ascii="Calibri" w:eastAsia="Calibri" w:hAnsi="Calibri" w:cs="Calibri"/>
          <w:color w:val="000000"/>
          <w:lang w:bidi="bs-Latn-BA"/>
        </w:rPr>
        <w:t>a</w:t>
      </w:r>
      <w:r w:rsidRPr="00610B4E">
        <w:rPr>
          <w:rFonts w:ascii="Calibri" w:eastAsia="Calibri" w:hAnsi="Calibri" w:cs="Calibri"/>
          <w:color w:val="000000"/>
        </w:rPr>
        <w:t xml:space="preserve"> </w:t>
      </w:r>
      <w:r w:rsidRPr="00610B4E">
        <w:rPr>
          <w:rFonts w:ascii="Calibri" w:eastAsia="Calibri" w:hAnsi="Calibri" w:cs="Calibri"/>
          <w:color w:val="000000"/>
          <w:lang w:bidi="bs-Latn-BA"/>
        </w:rPr>
        <w:t>da</w:t>
      </w:r>
      <w:r w:rsidRPr="00610B4E">
        <w:rPr>
          <w:rFonts w:ascii="Calibri" w:eastAsia="Calibri" w:hAnsi="Calibri" w:cs="Calibri"/>
          <w:color w:val="000000"/>
        </w:rPr>
        <w:t xml:space="preserve"> </w:t>
      </w:r>
      <w:r w:rsidRPr="00610B4E">
        <w:rPr>
          <w:rFonts w:ascii="Calibri" w:eastAsia="Calibri" w:hAnsi="Calibri" w:cs="Calibri"/>
          <w:color w:val="000000"/>
          <w:lang w:bidi="bs-Latn-BA"/>
        </w:rPr>
        <w:t>se</w:t>
      </w:r>
      <w:r w:rsidRPr="00610B4E">
        <w:rPr>
          <w:rFonts w:ascii="Calibri" w:eastAsia="Calibri" w:hAnsi="Calibri" w:cs="Calibri"/>
          <w:color w:val="000000"/>
        </w:rPr>
        <w:t xml:space="preserve"> </w:t>
      </w:r>
      <w:r w:rsidRPr="00610B4E">
        <w:rPr>
          <w:rFonts w:ascii="Calibri" w:eastAsia="Calibri" w:hAnsi="Calibri" w:cs="Calibri"/>
          <w:color w:val="000000"/>
          <w:lang w:bidi="bs-Latn-BA"/>
        </w:rPr>
        <w:t>oko</w:t>
      </w:r>
      <w:r w:rsidRPr="00610B4E">
        <w:rPr>
          <w:rFonts w:ascii="Calibri" w:eastAsia="Calibri" w:hAnsi="Calibri" w:cs="Calibri"/>
          <w:color w:val="000000"/>
        </w:rPr>
        <w:t xml:space="preserve"> </w:t>
      </w:r>
      <w:r w:rsidRPr="00610B4E">
        <w:rPr>
          <w:rFonts w:ascii="Calibri" w:eastAsia="Calibri" w:hAnsi="Calibri" w:cs="Calibri"/>
          <w:color w:val="000000"/>
          <w:lang w:bidi="bs-Latn-BA"/>
        </w:rPr>
        <w:t>10</w:t>
      </w:r>
      <w:r w:rsidRPr="00610B4E">
        <w:rPr>
          <w:rFonts w:ascii="Calibri" w:eastAsia="Calibri" w:hAnsi="Calibri" w:cs="Calibri"/>
          <w:color w:val="000000"/>
        </w:rPr>
        <w:t xml:space="preserve"> </w:t>
      </w:r>
      <w:r w:rsidRPr="00610B4E">
        <w:rPr>
          <w:rFonts w:ascii="Calibri" w:eastAsia="Calibri" w:hAnsi="Calibri" w:cs="Calibri"/>
          <w:color w:val="000000"/>
          <w:lang w:bidi="bs-Latn-BA"/>
        </w:rPr>
        <w:t>%</w:t>
      </w:r>
      <w:r w:rsidRPr="00610B4E">
        <w:rPr>
          <w:rFonts w:ascii="Calibri" w:eastAsia="Calibri" w:hAnsi="Calibri" w:cs="Calibri"/>
          <w:color w:val="000000"/>
        </w:rPr>
        <w:t xml:space="preserve"> </w:t>
      </w:r>
      <w:r w:rsidRPr="00610B4E">
        <w:rPr>
          <w:rFonts w:ascii="Calibri" w:eastAsia="Calibri" w:hAnsi="Calibri" w:cs="Calibri"/>
          <w:color w:val="000000"/>
          <w:lang w:bidi="bs-Latn-BA"/>
        </w:rPr>
        <w:t>iznosi</w:t>
      </w:r>
      <w:r w:rsidRPr="00610B4E">
        <w:rPr>
          <w:rFonts w:ascii="Calibri" w:eastAsia="Calibri" w:hAnsi="Calibri" w:cs="Calibri"/>
          <w:color w:val="000000"/>
        </w:rPr>
        <w:t xml:space="preserve"> </w:t>
      </w:r>
      <w:r w:rsidRPr="00610B4E">
        <w:rPr>
          <w:rFonts w:ascii="Calibri" w:eastAsia="Calibri" w:hAnsi="Calibri" w:cs="Calibri"/>
          <w:color w:val="000000"/>
          <w:lang w:bidi="bs-Latn-BA"/>
        </w:rPr>
        <w:t>u</w:t>
      </w:r>
      <w:r w:rsidRPr="00610B4E">
        <w:rPr>
          <w:rFonts w:ascii="Calibri" w:eastAsia="Calibri" w:hAnsi="Calibri" w:cs="Calibri"/>
          <w:color w:val="000000"/>
        </w:rPr>
        <w:t xml:space="preserve"> </w:t>
      </w:r>
      <w:r w:rsidRPr="00610B4E">
        <w:rPr>
          <w:rFonts w:ascii="Calibri" w:eastAsia="Calibri" w:hAnsi="Calibri" w:cs="Calibri"/>
          <w:color w:val="000000"/>
          <w:lang w:bidi="bs-Latn-BA"/>
        </w:rPr>
        <w:t>vidu</w:t>
      </w:r>
      <w:r w:rsidRPr="00610B4E">
        <w:rPr>
          <w:rFonts w:ascii="Calibri" w:eastAsia="Calibri" w:hAnsi="Calibri" w:cs="Calibri"/>
          <w:color w:val="000000"/>
        </w:rPr>
        <w:t xml:space="preserve"> </w:t>
      </w:r>
      <w:r w:rsidRPr="00610B4E">
        <w:rPr>
          <w:rFonts w:ascii="Calibri" w:eastAsia="Calibri" w:hAnsi="Calibri" w:cs="Calibri"/>
          <w:color w:val="000000"/>
          <w:lang w:bidi="bs-Latn-BA"/>
        </w:rPr>
        <w:t>letećih</w:t>
      </w:r>
      <w:r w:rsidRPr="00610B4E">
        <w:rPr>
          <w:rFonts w:ascii="Calibri" w:eastAsia="Calibri" w:hAnsi="Calibri" w:cs="Calibri"/>
          <w:color w:val="000000"/>
        </w:rPr>
        <w:t xml:space="preserve"> </w:t>
      </w:r>
      <w:r w:rsidRPr="00610B4E">
        <w:rPr>
          <w:rFonts w:ascii="Calibri" w:eastAsia="Calibri" w:hAnsi="Calibri" w:cs="Calibri"/>
          <w:color w:val="000000"/>
          <w:lang w:bidi="bs-Latn-BA"/>
        </w:rPr>
        <w:t>čestica</w:t>
      </w:r>
      <w:r w:rsidRPr="00610B4E">
        <w:rPr>
          <w:rFonts w:ascii="Calibri" w:eastAsia="Calibri" w:hAnsi="Calibri" w:cs="Calibri"/>
          <w:color w:val="000000"/>
        </w:rPr>
        <w:t xml:space="preserve"> </w:t>
      </w:r>
      <w:r w:rsidRPr="00610B4E">
        <w:rPr>
          <w:rFonts w:ascii="Calibri" w:eastAsia="Calibri" w:hAnsi="Calibri" w:cs="Calibri"/>
          <w:color w:val="000000"/>
          <w:lang w:bidi="bs-Latn-BA"/>
        </w:rPr>
        <w:t>(pepela)</w:t>
      </w:r>
      <w:r w:rsidRPr="00610B4E">
        <w:rPr>
          <w:rFonts w:ascii="Calibri" w:eastAsia="Calibri" w:hAnsi="Calibri" w:cs="Calibri"/>
          <w:color w:val="000000"/>
        </w:rPr>
        <w:t xml:space="preserve"> </w:t>
      </w:r>
      <w:r w:rsidRPr="00610B4E">
        <w:rPr>
          <w:rFonts w:ascii="Calibri" w:eastAsia="Calibri" w:hAnsi="Calibri" w:cs="Calibri"/>
          <w:color w:val="000000"/>
          <w:lang w:bidi="bs-Latn-BA"/>
        </w:rPr>
        <w:t>koji</w:t>
      </w:r>
      <w:r w:rsidRPr="00610B4E">
        <w:rPr>
          <w:rFonts w:ascii="Calibri" w:eastAsia="Calibri" w:hAnsi="Calibri" w:cs="Calibri"/>
          <w:color w:val="000000"/>
        </w:rPr>
        <w:t xml:space="preserve"> </w:t>
      </w:r>
      <w:r w:rsidRPr="00610B4E">
        <w:rPr>
          <w:rFonts w:ascii="Calibri" w:eastAsia="Calibri" w:hAnsi="Calibri" w:cs="Calibri"/>
          <w:color w:val="000000"/>
          <w:lang w:bidi="bs-Latn-BA"/>
        </w:rPr>
        <w:t>dolazi</w:t>
      </w:r>
      <w:r w:rsidRPr="00610B4E">
        <w:rPr>
          <w:rFonts w:ascii="Calibri" w:eastAsia="Calibri" w:hAnsi="Calibri" w:cs="Calibri"/>
          <w:color w:val="000000"/>
        </w:rPr>
        <w:t xml:space="preserve"> </w:t>
      </w:r>
      <w:r w:rsidRPr="00610B4E">
        <w:rPr>
          <w:rFonts w:ascii="Calibri" w:eastAsia="Calibri" w:hAnsi="Calibri" w:cs="Calibri"/>
          <w:color w:val="000000"/>
          <w:lang w:bidi="bs-Latn-BA"/>
        </w:rPr>
        <w:t>do</w:t>
      </w:r>
      <w:r w:rsidRPr="00610B4E">
        <w:rPr>
          <w:rFonts w:ascii="Calibri" w:eastAsia="Calibri" w:hAnsi="Calibri" w:cs="Calibri"/>
          <w:color w:val="000000"/>
        </w:rPr>
        <w:t xml:space="preserve">  </w:t>
      </w:r>
      <w:r w:rsidRPr="00610B4E">
        <w:rPr>
          <w:rFonts w:ascii="Calibri" w:eastAsia="Calibri" w:hAnsi="Calibri" w:cs="Calibri"/>
          <w:color w:val="000000"/>
          <w:lang w:bidi="bs-Latn-BA"/>
        </w:rPr>
        <w:t>multiciklonskog</w:t>
      </w:r>
      <w:r w:rsidRPr="00610B4E">
        <w:rPr>
          <w:rFonts w:ascii="Calibri" w:eastAsia="Calibri" w:hAnsi="Calibri" w:cs="Calibri"/>
          <w:color w:val="000000"/>
        </w:rPr>
        <w:t xml:space="preserve"> </w:t>
      </w:r>
      <w:r w:rsidRPr="00610B4E">
        <w:rPr>
          <w:rFonts w:ascii="Calibri" w:eastAsia="Calibri" w:hAnsi="Calibri" w:cs="Calibri"/>
          <w:color w:val="000000"/>
          <w:lang w:bidi="bs-Latn-BA"/>
        </w:rPr>
        <w:t>čistioca</w:t>
      </w:r>
      <w:r w:rsidRPr="00610B4E">
        <w:rPr>
          <w:rFonts w:ascii="Calibri" w:eastAsia="Calibri" w:hAnsi="Calibri" w:cs="Calibri"/>
          <w:color w:val="000000"/>
        </w:rPr>
        <w:t xml:space="preserve"> </w:t>
      </w:r>
      <w:r w:rsidRPr="00610B4E">
        <w:rPr>
          <w:rFonts w:ascii="Calibri" w:eastAsia="Calibri" w:hAnsi="Calibri" w:cs="Calibri"/>
          <w:color w:val="000000"/>
          <w:lang w:bidi="bs-Latn-BA"/>
        </w:rPr>
        <w:t>dimnih</w:t>
      </w:r>
      <w:r w:rsidRPr="00610B4E">
        <w:rPr>
          <w:rFonts w:ascii="Calibri" w:eastAsia="Calibri" w:hAnsi="Calibri" w:cs="Calibri"/>
          <w:color w:val="000000"/>
        </w:rPr>
        <w:t xml:space="preserve"> </w:t>
      </w:r>
      <w:r w:rsidRPr="00610B4E">
        <w:rPr>
          <w:rFonts w:ascii="Calibri" w:eastAsia="Calibri" w:hAnsi="Calibri" w:cs="Calibri"/>
          <w:color w:val="000000"/>
          <w:lang w:bidi="bs-Latn-BA"/>
        </w:rPr>
        <w:t>plinova.</w:t>
      </w:r>
      <w:r w:rsidRPr="00610B4E">
        <w:rPr>
          <w:rFonts w:ascii="Calibri" w:eastAsia="Calibri" w:hAnsi="Calibri" w:cs="Calibri"/>
          <w:color w:val="000000"/>
        </w:rPr>
        <w:t xml:space="preserve"> </w:t>
      </w:r>
    </w:p>
    <w:p w14:paraId="56D1B7E6" w14:textId="75442A40" w:rsidR="00207FBE" w:rsidRPr="007569A7" w:rsidRDefault="00610B4E" w:rsidP="007569A7">
      <w:pPr>
        <w:spacing w:before="165" w:line="286" w:lineRule="atLeast"/>
        <w:ind w:right="906"/>
        <w:jc w:val="both"/>
        <w:rPr>
          <w:rFonts w:ascii="Calibri" w:eastAsia="Calibri" w:hAnsi="Calibri" w:cs="Calibri"/>
        </w:rPr>
      </w:pPr>
      <w:r w:rsidRPr="00610B4E">
        <w:rPr>
          <w:rFonts w:ascii="Calibri" w:eastAsia="Calibri" w:hAnsi="Calibri" w:cs="Calibri"/>
          <w:color w:val="000000"/>
          <w:lang w:bidi="bs-Latn-BA"/>
        </w:rPr>
        <w:t>Ukupnu</w:t>
      </w:r>
      <w:r w:rsidRPr="00610B4E">
        <w:rPr>
          <w:rFonts w:ascii="Calibri" w:eastAsia="Calibri" w:hAnsi="Calibri" w:cs="Calibri"/>
          <w:color w:val="000000"/>
        </w:rPr>
        <w:t xml:space="preserve"> </w:t>
      </w:r>
      <w:r w:rsidRPr="00610B4E">
        <w:rPr>
          <w:rFonts w:ascii="Calibri" w:eastAsia="Calibri" w:hAnsi="Calibri" w:cs="Calibri"/>
          <w:color w:val="000000"/>
          <w:lang w:bidi="bs-Latn-BA"/>
        </w:rPr>
        <w:t>efikasnost</w:t>
      </w:r>
      <w:r w:rsidRPr="00610B4E">
        <w:rPr>
          <w:rFonts w:ascii="Calibri" w:eastAsia="Calibri" w:hAnsi="Calibri" w:cs="Calibri"/>
          <w:color w:val="000000"/>
        </w:rPr>
        <w:t xml:space="preserve"> </w:t>
      </w:r>
      <w:r w:rsidRPr="00610B4E">
        <w:rPr>
          <w:rFonts w:ascii="Calibri" w:eastAsia="Calibri" w:hAnsi="Calibri" w:cs="Calibri"/>
          <w:color w:val="000000"/>
          <w:lang w:bidi="bs-Latn-BA"/>
        </w:rPr>
        <w:t>nije</w:t>
      </w:r>
      <w:r w:rsidRPr="00610B4E">
        <w:rPr>
          <w:rFonts w:ascii="Calibri" w:eastAsia="Calibri" w:hAnsi="Calibri" w:cs="Calibri"/>
          <w:color w:val="000000"/>
        </w:rPr>
        <w:t xml:space="preserve"> </w:t>
      </w:r>
      <w:r w:rsidRPr="00610B4E">
        <w:rPr>
          <w:rFonts w:ascii="Calibri" w:eastAsia="Calibri" w:hAnsi="Calibri" w:cs="Calibri"/>
          <w:color w:val="000000"/>
          <w:lang w:bidi="bs-Latn-BA"/>
        </w:rPr>
        <w:t>moguće</w:t>
      </w:r>
      <w:r w:rsidRPr="00610B4E">
        <w:rPr>
          <w:rFonts w:ascii="Calibri" w:eastAsia="Calibri" w:hAnsi="Calibri" w:cs="Calibri"/>
          <w:color w:val="000000"/>
        </w:rPr>
        <w:t xml:space="preserve"> </w:t>
      </w:r>
      <w:r w:rsidRPr="00610B4E">
        <w:rPr>
          <w:rFonts w:ascii="Calibri" w:eastAsia="Calibri" w:hAnsi="Calibri" w:cs="Calibri"/>
          <w:color w:val="000000"/>
          <w:lang w:bidi="bs-Latn-BA"/>
        </w:rPr>
        <w:t>egzaktno</w:t>
      </w:r>
      <w:r w:rsidRPr="00610B4E">
        <w:rPr>
          <w:rFonts w:ascii="Calibri" w:eastAsia="Calibri" w:hAnsi="Calibri" w:cs="Calibri"/>
          <w:color w:val="000000"/>
        </w:rPr>
        <w:t xml:space="preserve"> </w:t>
      </w:r>
      <w:r w:rsidRPr="00610B4E">
        <w:rPr>
          <w:rFonts w:ascii="Calibri" w:eastAsia="Calibri" w:hAnsi="Calibri" w:cs="Calibri"/>
          <w:color w:val="000000"/>
          <w:lang w:bidi="bs-Latn-BA"/>
        </w:rPr>
        <w:t>odrediti,</w:t>
      </w:r>
      <w:r w:rsidRPr="00610B4E">
        <w:rPr>
          <w:rFonts w:ascii="Calibri" w:eastAsia="Calibri" w:hAnsi="Calibri" w:cs="Calibri"/>
          <w:color w:val="000000"/>
        </w:rPr>
        <w:t xml:space="preserve"> </w:t>
      </w:r>
      <w:r w:rsidRPr="00610B4E">
        <w:rPr>
          <w:rFonts w:ascii="Calibri" w:eastAsia="Calibri" w:hAnsi="Calibri" w:cs="Calibri"/>
          <w:color w:val="000000"/>
          <w:lang w:bidi="bs-Latn-BA"/>
        </w:rPr>
        <w:t>pošto</w:t>
      </w:r>
      <w:r w:rsidRPr="00610B4E">
        <w:rPr>
          <w:rFonts w:ascii="Calibri" w:eastAsia="Calibri" w:hAnsi="Calibri" w:cs="Calibri"/>
          <w:color w:val="000000"/>
        </w:rPr>
        <w:t xml:space="preserve"> </w:t>
      </w:r>
      <w:r w:rsidRPr="00610B4E">
        <w:rPr>
          <w:rFonts w:ascii="Calibri" w:eastAsia="Calibri" w:hAnsi="Calibri" w:cs="Calibri"/>
          <w:color w:val="000000"/>
          <w:lang w:bidi="bs-Latn-BA"/>
        </w:rPr>
        <w:t>za</w:t>
      </w:r>
      <w:r w:rsidRPr="00610B4E">
        <w:rPr>
          <w:rFonts w:ascii="Calibri" w:eastAsia="Calibri" w:hAnsi="Calibri" w:cs="Calibri"/>
          <w:color w:val="000000"/>
        </w:rPr>
        <w:t xml:space="preserve"> </w:t>
      </w:r>
      <w:r w:rsidRPr="00610B4E">
        <w:rPr>
          <w:rFonts w:ascii="Calibri" w:eastAsia="Calibri" w:hAnsi="Calibri" w:cs="Calibri"/>
          <w:color w:val="000000"/>
          <w:lang w:bidi="bs-Latn-BA"/>
        </w:rPr>
        <w:t>buduće</w:t>
      </w:r>
      <w:r w:rsidRPr="00610B4E">
        <w:rPr>
          <w:rFonts w:ascii="Calibri" w:eastAsia="Calibri" w:hAnsi="Calibri" w:cs="Calibri"/>
          <w:color w:val="000000"/>
        </w:rPr>
        <w:t xml:space="preserve"> </w:t>
      </w:r>
      <w:r w:rsidRPr="00610B4E">
        <w:rPr>
          <w:rFonts w:ascii="Calibri" w:eastAsia="Calibri" w:hAnsi="Calibri" w:cs="Calibri"/>
          <w:color w:val="000000"/>
          <w:lang w:bidi="bs-Latn-BA"/>
        </w:rPr>
        <w:t>plinove</w:t>
      </w:r>
      <w:r w:rsidRPr="00610B4E">
        <w:rPr>
          <w:rFonts w:ascii="Calibri" w:eastAsia="Calibri" w:hAnsi="Calibri" w:cs="Calibri"/>
          <w:color w:val="000000"/>
        </w:rPr>
        <w:t xml:space="preserve"> </w:t>
      </w:r>
      <w:r w:rsidRPr="00610B4E">
        <w:rPr>
          <w:rFonts w:ascii="Calibri" w:eastAsia="Calibri" w:hAnsi="Calibri" w:cs="Calibri"/>
          <w:color w:val="000000"/>
          <w:lang w:bidi="bs-Latn-BA"/>
        </w:rPr>
        <w:t>nije</w:t>
      </w:r>
      <w:r w:rsidRPr="00610B4E">
        <w:rPr>
          <w:rFonts w:ascii="Calibri" w:eastAsia="Calibri" w:hAnsi="Calibri" w:cs="Calibri"/>
          <w:color w:val="000000"/>
        </w:rPr>
        <w:t xml:space="preserve"> </w:t>
      </w:r>
      <w:r w:rsidRPr="00610B4E">
        <w:rPr>
          <w:rFonts w:ascii="Calibri" w:eastAsia="Calibri" w:hAnsi="Calibri" w:cs="Calibri"/>
          <w:color w:val="000000"/>
          <w:lang w:bidi="bs-Latn-BA"/>
        </w:rPr>
        <w:t>experimentalno</w:t>
      </w:r>
      <w:r w:rsidRPr="00610B4E">
        <w:rPr>
          <w:rFonts w:ascii="Calibri" w:eastAsia="Calibri" w:hAnsi="Calibri" w:cs="Calibri"/>
          <w:color w:val="000000"/>
        </w:rPr>
        <w:t xml:space="preserve"> </w:t>
      </w:r>
      <w:r w:rsidRPr="00610B4E">
        <w:rPr>
          <w:rFonts w:ascii="Calibri" w:eastAsia="Calibri" w:hAnsi="Calibri" w:cs="Calibri"/>
          <w:color w:val="000000"/>
          <w:lang w:bidi="bs-Latn-BA"/>
        </w:rPr>
        <w:t>određena</w:t>
      </w:r>
      <w:r w:rsidRPr="00610B4E">
        <w:rPr>
          <w:rFonts w:ascii="Calibri" w:eastAsia="Calibri" w:hAnsi="Calibri" w:cs="Calibri"/>
          <w:color w:val="000000"/>
        </w:rPr>
        <w:t xml:space="preserve"> </w:t>
      </w:r>
      <w:r w:rsidRPr="00610B4E">
        <w:rPr>
          <w:rFonts w:ascii="Calibri" w:eastAsia="Calibri" w:hAnsi="Calibri" w:cs="Calibri"/>
          <w:color w:val="000000"/>
          <w:lang w:bidi="bs-Latn-BA"/>
        </w:rPr>
        <w:t>raspodjela</w:t>
      </w:r>
      <w:r w:rsidRPr="00610B4E">
        <w:rPr>
          <w:rFonts w:ascii="Calibri" w:eastAsia="Calibri" w:hAnsi="Calibri" w:cs="Calibri"/>
          <w:color w:val="000000"/>
        </w:rPr>
        <w:t xml:space="preserve"> </w:t>
      </w:r>
      <w:r w:rsidRPr="00610B4E">
        <w:rPr>
          <w:rFonts w:ascii="Calibri" w:eastAsia="Calibri" w:hAnsi="Calibri" w:cs="Calibri"/>
          <w:color w:val="000000"/>
          <w:lang w:bidi="bs-Latn-BA"/>
        </w:rPr>
        <w:t>čestica</w:t>
      </w:r>
      <w:r w:rsidRPr="00610B4E">
        <w:rPr>
          <w:rFonts w:ascii="Calibri" w:eastAsia="Calibri" w:hAnsi="Calibri" w:cs="Calibri"/>
          <w:color w:val="000000"/>
        </w:rPr>
        <w:t xml:space="preserve"> </w:t>
      </w:r>
      <w:r w:rsidRPr="00610B4E">
        <w:rPr>
          <w:rFonts w:ascii="Calibri" w:eastAsia="Calibri" w:hAnsi="Calibri" w:cs="Calibri"/>
          <w:color w:val="000000"/>
          <w:lang w:bidi="bs-Latn-BA"/>
        </w:rPr>
        <w:t>po</w:t>
      </w:r>
      <w:r w:rsidRPr="00610B4E">
        <w:rPr>
          <w:rFonts w:ascii="Calibri" w:eastAsia="Calibri" w:hAnsi="Calibri" w:cs="Calibri"/>
          <w:color w:val="000000"/>
        </w:rPr>
        <w:t xml:space="preserve"> </w:t>
      </w:r>
      <w:r w:rsidRPr="00610B4E">
        <w:rPr>
          <w:rFonts w:ascii="Calibri" w:eastAsia="Calibri" w:hAnsi="Calibri" w:cs="Calibri"/>
          <w:color w:val="000000"/>
          <w:lang w:bidi="bs-Latn-BA"/>
        </w:rPr>
        <w:t>veličinama</w:t>
      </w:r>
      <w:r w:rsidR="007569A7">
        <w:rPr>
          <w:rFonts w:ascii="Calibri" w:eastAsia="Calibri" w:hAnsi="Calibri" w:cs="Calibri"/>
          <w:color w:val="000000"/>
          <w:lang w:bidi="bs-Latn-BA"/>
        </w:rPr>
        <w:t>,</w:t>
      </w:r>
      <w:r w:rsidRPr="00610B4E">
        <w:rPr>
          <w:rFonts w:ascii="Calibri" w:eastAsia="Calibri" w:hAnsi="Calibri" w:cs="Calibri"/>
          <w:color w:val="000000"/>
        </w:rPr>
        <w:t xml:space="preserve"> </w:t>
      </w:r>
      <w:r w:rsidRPr="00610B4E">
        <w:rPr>
          <w:rFonts w:ascii="Calibri" w:eastAsia="Calibri" w:hAnsi="Calibri" w:cs="Calibri"/>
          <w:color w:val="000000"/>
          <w:lang w:bidi="bs-Latn-BA"/>
        </w:rPr>
        <w:t>ali</w:t>
      </w:r>
      <w:r w:rsidRPr="00610B4E">
        <w:rPr>
          <w:rFonts w:ascii="Calibri" w:eastAsia="Calibri" w:hAnsi="Calibri" w:cs="Calibri"/>
          <w:color w:val="000000"/>
        </w:rPr>
        <w:t xml:space="preserve"> </w:t>
      </w:r>
      <w:r w:rsidRPr="00610B4E">
        <w:rPr>
          <w:rFonts w:ascii="Calibri" w:eastAsia="Calibri" w:hAnsi="Calibri" w:cs="Calibri"/>
          <w:color w:val="000000"/>
          <w:lang w:bidi="bs-Latn-BA"/>
        </w:rPr>
        <w:t>se</w:t>
      </w:r>
      <w:r w:rsidRPr="00610B4E">
        <w:rPr>
          <w:rFonts w:ascii="Calibri" w:eastAsia="Calibri" w:hAnsi="Calibri" w:cs="Calibri"/>
          <w:color w:val="000000"/>
        </w:rPr>
        <w:t xml:space="preserve"> </w:t>
      </w:r>
      <w:r w:rsidRPr="00610B4E">
        <w:rPr>
          <w:rFonts w:ascii="Calibri" w:eastAsia="Calibri" w:hAnsi="Calibri" w:cs="Calibri"/>
          <w:color w:val="000000"/>
          <w:lang w:bidi="bs-Latn-BA"/>
        </w:rPr>
        <w:t>prema</w:t>
      </w:r>
      <w:r w:rsidRPr="00610B4E">
        <w:rPr>
          <w:rFonts w:ascii="Calibri" w:eastAsia="Calibri" w:hAnsi="Calibri" w:cs="Calibri"/>
          <w:color w:val="000000"/>
        </w:rPr>
        <w:t xml:space="preserve"> </w:t>
      </w:r>
      <w:r w:rsidRPr="00610B4E">
        <w:rPr>
          <w:rFonts w:ascii="Calibri" w:eastAsia="Calibri" w:hAnsi="Calibri" w:cs="Calibri"/>
          <w:color w:val="000000"/>
          <w:lang w:bidi="bs-Latn-BA"/>
        </w:rPr>
        <w:t>projektnim</w:t>
      </w:r>
      <w:r w:rsidRPr="00610B4E">
        <w:rPr>
          <w:rFonts w:ascii="Calibri" w:eastAsia="Calibri" w:hAnsi="Calibri" w:cs="Calibri"/>
          <w:color w:val="000000"/>
        </w:rPr>
        <w:t xml:space="preserve"> </w:t>
      </w:r>
      <w:r w:rsidRPr="00610B4E">
        <w:rPr>
          <w:rFonts w:ascii="Calibri" w:eastAsia="Calibri" w:hAnsi="Calibri" w:cs="Calibri"/>
          <w:color w:val="000000"/>
          <w:lang w:bidi="bs-Latn-BA"/>
        </w:rPr>
        <w:t>podacima</w:t>
      </w:r>
      <w:r w:rsidRPr="00610B4E">
        <w:rPr>
          <w:rFonts w:ascii="Calibri" w:eastAsia="Calibri" w:hAnsi="Calibri" w:cs="Calibri"/>
          <w:color w:val="000000"/>
        </w:rPr>
        <w:t xml:space="preserve"> </w:t>
      </w:r>
      <w:r w:rsidRPr="00610B4E">
        <w:rPr>
          <w:rFonts w:ascii="Calibri" w:eastAsia="Calibri" w:hAnsi="Calibri" w:cs="Calibri"/>
          <w:color w:val="000000"/>
          <w:lang w:bidi="bs-Latn-BA"/>
        </w:rPr>
        <w:t>ukupna</w:t>
      </w:r>
      <w:r w:rsidRPr="00610B4E">
        <w:rPr>
          <w:rFonts w:ascii="Calibri" w:eastAsia="Calibri" w:hAnsi="Calibri" w:cs="Calibri"/>
          <w:color w:val="000000"/>
        </w:rPr>
        <w:t xml:space="preserve"> </w:t>
      </w:r>
      <w:r w:rsidRPr="00610B4E">
        <w:rPr>
          <w:rFonts w:ascii="Calibri" w:eastAsia="Calibri" w:hAnsi="Calibri" w:cs="Calibri"/>
          <w:color w:val="000000"/>
          <w:lang w:bidi="bs-Latn-BA"/>
        </w:rPr>
        <w:t>efikasnost</w:t>
      </w:r>
      <w:r w:rsidRPr="00610B4E">
        <w:rPr>
          <w:rFonts w:ascii="Calibri" w:eastAsia="Calibri" w:hAnsi="Calibri" w:cs="Calibri"/>
          <w:color w:val="000000"/>
        </w:rPr>
        <w:t xml:space="preserve"> </w:t>
      </w:r>
      <w:r w:rsidRPr="00610B4E">
        <w:rPr>
          <w:rFonts w:ascii="Calibri" w:eastAsia="Calibri" w:hAnsi="Calibri" w:cs="Calibri"/>
          <w:color w:val="000000"/>
          <w:lang w:bidi="bs-Latn-BA"/>
        </w:rPr>
        <w:t>čišćenja</w:t>
      </w:r>
      <w:r w:rsidRPr="00610B4E">
        <w:rPr>
          <w:rFonts w:ascii="Calibri" w:eastAsia="Calibri" w:hAnsi="Calibri" w:cs="Calibri"/>
          <w:color w:val="000000"/>
        </w:rPr>
        <w:t xml:space="preserve"> </w:t>
      </w:r>
      <w:r w:rsidRPr="00610B4E">
        <w:rPr>
          <w:rFonts w:ascii="Calibri" w:eastAsia="Calibri" w:hAnsi="Calibri" w:cs="Calibri"/>
          <w:color w:val="000000"/>
          <w:lang w:bidi="bs-Latn-BA"/>
        </w:rPr>
        <w:t>dimnih</w:t>
      </w:r>
      <w:r w:rsidRPr="00610B4E">
        <w:rPr>
          <w:rFonts w:ascii="Calibri" w:eastAsia="Calibri" w:hAnsi="Calibri" w:cs="Calibri"/>
          <w:color w:val="000000"/>
        </w:rPr>
        <w:t xml:space="preserve"> </w:t>
      </w:r>
      <w:r w:rsidRPr="00610B4E">
        <w:rPr>
          <w:rFonts w:ascii="Calibri" w:eastAsia="Calibri" w:hAnsi="Calibri" w:cs="Calibri"/>
          <w:color w:val="000000"/>
          <w:lang w:bidi="bs-Latn-BA"/>
        </w:rPr>
        <w:t>gasova</w:t>
      </w:r>
      <w:r w:rsidRPr="00610B4E">
        <w:rPr>
          <w:rFonts w:ascii="Calibri" w:eastAsia="Calibri" w:hAnsi="Calibri" w:cs="Calibri"/>
          <w:color w:val="000000"/>
        </w:rPr>
        <w:t xml:space="preserve"> </w:t>
      </w:r>
      <w:r w:rsidRPr="00610B4E">
        <w:rPr>
          <w:rFonts w:ascii="Calibri" w:eastAsia="Calibri" w:hAnsi="Calibri" w:cs="Calibri"/>
          <w:color w:val="000000"/>
          <w:lang w:bidi="bs-Latn-BA"/>
        </w:rPr>
        <w:t>može</w:t>
      </w:r>
      <w:r w:rsidRPr="00610B4E">
        <w:rPr>
          <w:rFonts w:ascii="Calibri" w:eastAsia="Calibri" w:hAnsi="Calibri" w:cs="Calibri"/>
          <w:color w:val="000000"/>
        </w:rPr>
        <w:t xml:space="preserve"> </w:t>
      </w:r>
      <w:r w:rsidRPr="00610B4E">
        <w:rPr>
          <w:rFonts w:ascii="Calibri" w:eastAsia="Calibri" w:hAnsi="Calibri" w:cs="Calibri"/>
          <w:color w:val="000000"/>
          <w:lang w:bidi="bs-Latn-BA"/>
        </w:rPr>
        <w:t>procjeniti</w:t>
      </w:r>
      <w:r w:rsidRPr="00610B4E">
        <w:rPr>
          <w:rFonts w:ascii="Calibri" w:eastAsia="Calibri" w:hAnsi="Calibri" w:cs="Calibri"/>
          <w:color w:val="000000"/>
        </w:rPr>
        <w:t xml:space="preserve"> </w:t>
      </w:r>
      <w:r w:rsidRPr="00610B4E">
        <w:rPr>
          <w:rFonts w:ascii="Calibri" w:eastAsia="Calibri" w:hAnsi="Calibri" w:cs="Calibri"/>
          <w:color w:val="000000"/>
          <w:lang w:bidi="bs-Latn-BA"/>
        </w:rPr>
        <w:t>na</w:t>
      </w:r>
      <w:r w:rsidRPr="00610B4E">
        <w:rPr>
          <w:rFonts w:ascii="Calibri" w:eastAsia="Calibri" w:hAnsi="Calibri" w:cs="Calibri"/>
          <w:color w:val="000000"/>
        </w:rPr>
        <w:t xml:space="preserve"> </w:t>
      </w:r>
      <w:r w:rsidRPr="00610B4E">
        <w:rPr>
          <w:rFonts w:ascii="Calibri" w:eastAsia="Calibri" w:hAnsi="Calibri" w:cs="Calibri"/>
          <w:color w:val="000000"/>
          <w:lang w:bidi="bs-Latn-BA"/>
        </w:rPr>
        <w:t>95</w:t>
      </w:r>
      <w:r w:rsidRPr="00610B4E">
        <w:rPr>
          <w:rFonts w:ascii="Calibri" w:eastAsia="Calibri" w:hAnsi="Calibri" w:cs="Calibri"/>
          <w:color w:val="000000"/>
        </w:rPr>
        <w:t xml:space="preserve"> </w:t>
      </w:r>
      <w:r w:rsidRPr="00610B4E">
        <w:rPr>
          <w:rFonts w:ascii="Calibri" w:eastAsia="Calibri" w:hAnsi="Calibri" w:cs="Calibri"/>
          <w:color w:val="000000"/>
          <w:lang w:bidi="bs-Latn-BA"/>
        </w:rPr>
        <w:t>%,</w:t>
      </w:r>
      <w:r w:rsidRPr="00610B4E">
        <w:rPr>
          <w:rFonts w:ascii="Calibri" w:eastAsia="Calibri" w:hAnsi="Calibri" w:cs="Calibri"/>
          <w:color w:val="000000"/>
        </w:rPr>
        <w:t xml:space="preserve"> </w:t>
      </w:r>
      <w:r w:rsidRPr="00610B4E">
        <w:rPr>
          <w:rFonts w:ascii="Calibri" w:eastAsia="Calibri" w:hAnsi="Calibri" w:cs="Calibri"/>
          <w:color w:val="000000"/>
          <w:lang w:bidi="bs-Latn-BA"/>
        </w:rPr>
        <w:t>odnosno</w:t>
      </w:r>
      <w:r w:rsidRPr="00610B4E">
        <w:rPr>
          <w:rFonts w:ascii="Calibri" w:eastAsia="Calibri" w:hAnsi="Calibri" w:cs="Calibri"/>
          <w:color w:val="000000"/>
        </w:rPr>
        <w:t xml:space="preserve"> </w:t>
      </w:r>
      <w:r w:rsidRPr="00610B4E">
        <w:rPr>
          <w:rFonts w:ascii="Calibri" w:eastAsia="Calibri" w:hAnsi="Calibri" w:cs="Calibri"/>
          <w:color w:val="000000"/>
          <w:lang w:bidi="bs-Latn-BA"/>
        </w:rPr>
        <w:t>oko</w:t>
      </w:r>
      <w:r w:rsidRPr="00610B4E">
        <w:rPr>
          <w:rFonts w:ascii="Calibri" w:eastAsia="Calibri" w:hAnsi="Calibri" w:cs="Calibri"/>
          <w:color w:val="000000"/>
        </w:rPr>
        <w:t xml:space="preserve"> </w:t>
      </w:r>
      <w:r w:rsidRPr="00610B4E">
        <w:rPr>
          <w:rFonts w:ascii="Calibri" w:eastAsia="Calibri" w:hAnsi="Calibri" w:cs="Calibri"/>
          <w:color w:val="000000"/>
          <w:lang w:bidi="bs-Latn-BA"/>
        </w:rPr>
        <w:t>200</w:t>
      </w:r>
      <w:r w:rsidRPr="00610B4E">
        <w:rPr>
          <w:rFonts w:ascii="Calibri" w:eastAsia="Calibri" w:hAnsi="Calibri" w:cs="Calibri"/>
          <w:color w:val="000000"/>
        </w:rPr>
        <w:t xml:space="preserve"> </w:t>
      </w:r>
      <w:r w:rsidRPr="00610B4E">
        <w:rPr>
          <w:rFonts w:ascii="Calibri" w:eastAsia="Calibri" w:hAnsi="Calibri" w:cs="Calibri"/>
          <w:color w:val="000000"/>
          <w:lang w:bidi="bs-Latn-BA"/>
        </w:rPr>
        <w:t>mg/m</w:t>
      </w:r>
      <w:r w:rsidR="007569A7">
        <w:rPr>
          <w:rFonts w:ascii="Calibri" w:eastAsia="Calibri" w:hAnsi="Calibri" w:cs="Calibri"/>
          <w:color w:val="000000"/>
          <w:sz w:val="14"/>
          <w:szCs w:val="14"/>
          <w:vertAlign w:val="superscript"/>
          <w:lang w:bidi="bs-Latn-BA"/>
        </w:rPr>
        <w:t>3</w:t>
      </w:r>
      <w:r w:rsidRPr="00610B4E">
        <w:rPr>
          <w:rFonts w:ascii="Calibri" w:eastAsia="Calibri" w:hAnsi="Calibri" w:cs="Calibri"/>
          <w:color w:val="000000"/>
          <w:lang w:bidi="bs-Latn-BA"/>
        </w:rPr>
        <w:t>.</w:t>
      </w:r>
      <w:r w:rsidRPr="00610B4E">
        <w:rPr>
          <w:rFonts w:ascii="Calibri" w:eastAsia="Calibri" w:hAnsi="Calibri" w:cs="Calibri"/>
          <w:color w:val="000000"/>
        </w:rPr>
        <w:t xml:space="preserve"> </w:t>
      </w:r>
    </w:p>
    <w:p w14:paraId="0D7FBD8B" w14:textId="67475456" w:rsidR="00207FBE" w:rsidRPr="00213C60" w:rsidRDefault="005B1ED0" w:rsidP="00207FBE">
      <w:pPr>
        <w:tabs>
          <w:tab w:val="left" w:pos="1950"/>
        </w:tabs>
        <w:spacing w:after="0"/>
        <w:ind w:left="360"/>
        <w:jc w:val="both"/>
        <w:rPr>
          <w:b/>
          <w:bCs/>
        </w:rPr>
      </w:pPr>
      <w:r w:rsidRPr="00213C60">
        <w:rPr>
          <w:b/>
          <w:bCs/>
        </w:rPr>
        <w:t>5.2. Mjere za smanjenje uticaja na kvalitet vode</w:t>
      </w:r>
    </w:p>
    <w:p w14:paraId="3550C834" w14:textId="666CC5B7" w:rsidR="005B1ED0" w:rsidRDefault="005B1ED0" w:rsidP="00207FBE">
      <w:pPr>
        <w:tabs>
          <w:tab w:val="left" w:pos="1950"/>
        </w:tabs>
        <w:spacing w:after="0"/>
        <w:ind w:left="360"/>
        <w:jc w:val="both"/>
      </w:pPr>
      <w:r>
        <w:t>Za tretman otpadnih voda izgrađen je taložnik, koji se redoito čisti i talog se odlaže na deponiju šljake i pepela. Sve otpadne vode se skupljaju na jedno zajedničko mjesto</w:t>
      </w:r>
      <w:r w:rsidR="006B2F26">
        <w:t>, taložnik koji je izveden dvokomorno kako bi istaložilo što više krupnih materija i mulja koji ispliva na povr</w:t>
      </w:r>
      <w:r w:rsidR="007C0B59">
        <w:t>šinu</w:t>
      </w:r>
      <w:r w:rsidR="002D6814">
        <w:t xml:space="preserve"> vode u kadi za podhlađenje šljake. U tehnološkom procesu kod rada kotlovskog postrojenja konstatno se dodaje sirova voda u potrebnim količinama kako bi se držali potopljeni izlazni lijevci kroz koje ispada šljaka i pepeo. Kod vršenja regeneracije jonskih omekšivača ispušta se blago slana voda koja se na izlazu miješa sa konstatnim izlazom vode iz odšljakivača i kao takva izlazi u taložnik i odatle otiče u oborisnki kanal koji povezuje sve ostale oborinske vode. Oborinski kanal je konstruktivno izveden tako da ujedno služi kao i taložnik. U toku procesa proizvodnje taj oborinski kanal se redovito čisti od nataloženog sloja i odlaže na deponiju šljake. Planirane aktivnosti smanjenju uticaja Toplane Novi Travnik na kvalitet voda su:</w:t>
      </w:r>
    </w:p>
    <w:p w14:paraId="586B128C" w14:textId="28E28A56" w:rsidR="002D6814" w:rsidRDefault="002D6814" w:rsidP="00207FBE">
      <w:pPr>
        <w:tabs>
          <w:tab w:val="left" w:pos="1950"/>
        </w:tabs>
        <w:spacing w:after="0"/>
        <w:ind w:left="360"/>
        <w:jc w:val="both"/>
      </w:pPr>
      <w:r>
        <w:t>- u cilju smanjenja pH</w:t>
      </w:r>
      <w:r w:rsidR="00213C60">
        <w:t xml:space="preserve"> vrijednosti otpadnih voda uvešće se sistemom neutralizacije (uređaj za doziranje neutralizatora, uređaj za mjerenje pH vrijednosti sa pripadajućom infrastrukturom)</w:t>
      </w:r>
    </w:p>
    <w:p w14:paraId="10023650" w14:textId="5BAC9299" w:rsidR="00213C60" w:rsidRDefault="00213C60" w:rsidP="00207FBE">
      <w:pPr>
        <w:tabs>
          <w:tab w:val="left" w:pos="1950"/>
        </w:tabs>
        <w:spacing w:after="0"/>
        <w:ind w:left="360"/>
        <w:jc w:val="both"/>
      </w:pPr>
      <w:r>
        <w:t>- u cilju snižavanja temperature kotlovske vode, sa konstantnog odsoljenja i odmuljenja kotlova, a također i u cilju uštede energije, pristupit će se ugradnji jednog koncentričnog izmjenjivača toplote za otpadnu vodu, koji će imati zadatak dogrijavanja omekšane vode.</w:t>
      </w:r>
    </w:p>
    <w:p w14:paraId="7A0B2860" w14:textId="2850DF2A" w:rsidR="007470C6" w:rsidRDefault="007470C6" w:rsidP="007470C6">
      <w:pPr>
        <w:spacing w:before="180" w:after="182" w:line="269" w:lineRule="atLeast"/>
        <w:ind w:right="-200"/>
        <w:jc w:val="both"/>
        <w:rPr>
          <w:rFonts w:ascii="Calibri" w:eastAsia="Calibri" w:hAnsi="Calibri" w:cs="Calibri"/>
        </w:rPr>
      </w:pPr>
      <w:r>
        <w:rPr>
          <w:rFonts w:ascii="Calibri" w:eastAsia="Calibri" w:hAnsi="Calibri" w:cs="Calibri"/>
          <w:color w:val="000000"/>
          <w:lang w:bidi="bs-Latn-BA"/>
        </w:rPr>
        <w:t xml:space="preserve">     Redovno</w:t>
      </w:r>
      <w:r>
        <w:rPr>
          <w:rFonts w:ascii="Calibri" w:eastAsia="Calibri" w:hAnsi="Calibri" w:cs="Calibri"/>
          <w:color w:val="000000"/>
        </w:rPr>
        <w:t xml:space="preserve"> </w:t>
      </w:r>
      <w:r>
        <w:rPr>
          <w:rFonts w:ascii="Calibri" w:eastAsia="Calibri" w:hAnsi="Calibri" w:cs="Calibri"/>
          <w:color w:val="000000"/>
          <w:lang w:bidi="bs-Latn-BA"/>
        </w:rPr>
        <w:t>se</w:t>
      </w:r>
      <w:r>
        <w:rPr>
          <w:rFonts w:ascii="Calibri" w:eastAsia="Calibri" w:hAnsi="Calibri" w:cs="Calibri"/>
          <w:color w:val="000000"/>
        </w:rPr>
        <w:t xml:space="preserve"> </w:t>
      </w:r>
      <w:r>
        <w:rPr>
          <w:rFonts w:ascii="Calibri" w:eastAsia="Calibri" w:hAnsi="Calibri" w:cs="Calibri"/>
          <w:color w:val="000000"/>
          <w:lang w:bidi="bs-Latn-BA"/>
        </w:rPr>
        <w:t>treba</w:t>
      </w:r>
      <w:r>
        <w:rPr>
          <w:rFonts w:ascii="Calibri" w:eastAsia="Calibri" w:hAnsi="Calibri" w:cs="Calibri"/>
          <w:color w:val="000000"/>
        </w:rPr>
        <w:t xml:space="preserve"> </w:t>
      </w:r>
      <w:r>
        <w:rPr>
          <w:rFonts w:ascii="Calibri" w:eastAsia="Calibri" w:hAnsi="Calibri" w:cs="Calibri"/>
          <w:color w:val="000000"/>
          <w:lang w:bidi="bs-Latn-BA"/>
        </w:rPr>
        <w:t>voditi</w:t>
      </w:r>
      <w:r>
        <w:rPr>
          <w:rFonts w:ascii="Calibri" w:eastAsia="Calibri" w:hAnsi="Calibri" w:cs="Calibri"/>
          <w:color w:val="000000"/>
        </w:rPr>
        <w:t xml:space="preserve"> </w:t>
      </w:r>
      <w:r>
        <w:rPr>
          <w:rFonts w:ascii="Calibri" w:eastAsia="Calibri" w:hAnsi="Calibri" w:cs="Calibri"/>
          <w:color w:val="000000"/>
          <w:lang w:bidi="bs-Latn-BA"/>
        </w:rPr>
        <w:t>evidencija</w:t>
      </w:r>
      <w:r>
        <w:rPr>
          <w:rFonts w:ascii="Calibri" w:eastAsia="Calibri" w:hAnsi="Calibri" w:cs="Calibri"/>
          <w:color w:val="000000"/>
        </w:rPr>
        <w:t xml:space="preserve"> </w:t>
      </w:r>
      <w:r>
        <w:rPr>
          <w:rFonts w:ascii="Calibri" w:eastAsia="Calibri" w:hAnsi="Calibri" w:cs="Calibri"/>
          <w:color w:val="000000"/>
          <w:lang w:bidi="bs-Latn-BA"/>
        </w:rPr>
        <w:t>i</w:t>
      </w:r>
      <w:r>
        <w:rPr>
          <w:rFonts w:ascii="Calibri" w:eastAsia="Calibri" w:hAnsi="Calibri" w:cs="Calibri"/>
          <w:color w:val="000000"/>
        </w:rPr>
        <w:t xml:space="preserve"> </w:t>
      </w:r>
      <w:r>
        <w:rPr>
          <w:rFonts w:ascii="Calibri" w:eastAsia="Calibri" w:hAnsi="Calibri" w:cs="Calibri"/>
          <w:color w:val="000000"/>
          <w:spacing w:val="1"/>
          <w:lang w:bidi="bs-Latn-BA"/>
        </w:rPr>
        <w:t>o:</w:t>
      </w:r>
      <w:r>
        <w:rPr>
          <w:rFonts w:ascii="Calibri" w:eastAsia="Calibri" w:hAnsi="Calibri" w:cs="Calibri"/>
          <w:color w:val="000000"/>
        </w:rPr>
        <w:t xml:space="preserve"> </w:t>
      </w:r>
    </w:p>
    <w:p w14:paraId="1918D786" w14:textId="409DFF80" w:rsidR="007470C6" w:rsidRPr="00531BD4" w:rsidRDefault="007470C6" w:rsidP="00531BD4">
      <w:pPr>
        <w:pStyle w:val="Odlomakpopisa"/>
        <w:numPr>
          <w:ilvl w:val="0"/>
          <w:numId w:val="5"/>
        </w:numPr>
        <w:spacing w:before="180" w:after="0" w:line="269" w:lineRule="atLeast"/>
        <w:ind w:right="-200"/>
        <w:jc w:val="both"/>
        <w:rPr>
          <w:rFonts w:ascii="Calibri" w:eastAsia="Calibri" w:hAnsi="Calibri" w:cs="Calibri"/>
          <w:lang w:val="sv-SE"/>
        </w:rPr>
      </w:pPr>
      <w:r w:rsidRPr="00531BD4">
        <w:rPr>
          <w:rFonts w:ascii="Calibri" w:eastAsia="Calibri" w:hAnsi="Calibri" w:cs="Calibri"/>
          <w:color w:val="000000"/>
          <w:lang w:val="sv-SE" w:bidi="bs-Latn-BA"/>
        </w:rPr>
        <w:t>stanju</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i</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čišćenju</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uređaja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za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tretman</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otpadnih</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voda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nakon</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ugradnje</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istih,</w:t>
      </w:r>
      <w:r w:rsidRPr="00531BD4">
        <w:rPr>
          <w:rFonts w:ascii="Calibri" w:eastAsia="Calibri" w:hAnsi="Calibri" w:cs="Calibri"/>
          <w:color w:val="000000"/>
          <w:lang w:val="sv-SE"/>
        </w:rPr>
        <w:t xml:space="preserve"> </w:t>
      </w:r>
    </w:p>
    <w:p w14:paraId="6910F1D7" w14:textId="77777777" w:rsidR="007470C6" w:rsidRPr="00531BD4" w:rsidRDefault="007470C6" w:rsidP="00531BD4">
      <w:pPr>
        <w:pStyle w:val="Odlomakpopisa"/>
        <w:numPr>
          <w:ilvl w:val="0"/>
          <w:numId w:val="5"/>
        </w:numPr>
        <w:spacing w:before="180" w:after="0" w:line="269" w:lineRule="atLeast"/>
        <w:ind w:right="-200"/>
        <w:jc w:val="both"/>
        <w:rPr>
          <w:rFonts w:ascii="Calibri" w:eastAsia="Calibri" w:hAnsi="Calibri" w:cs="Calibri"/>
          <w:lang w:val="sv-SE"/>
        </w:rPr>
      </w:pPr>
      <w:r w:rsidRPr="00531BD4">
        <w:rPr>
          <w:rFonts w:ascii="Calibri" w:eastAsia="Calibri" w:hAnsi="Calibri" w:cs="Calibri"/>
          <w:color w:val="000000"/>
          <w:lang w:val="sv-SE" w:bidi="bs-Latn-BA"/>
        </w:rPr>
        <w:t>rezultatima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ispitivanja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kvaliteta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ispuštene</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otpadne</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vode</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iz</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dvokomornog</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taložnika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za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tretman</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otpadnih</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voda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nakon</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ugradnje</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istih,</w:t>
      </w:r>
      <w:r w:rsidRPr="00531BD4">
        <w:rPr>
          <w:rFonts w:ascii="Calibri" w:eastAsia="Calibri" w:hAnsi="Calibri" w:cs="Calibri"/>
          <w:color w:val="000000"/>
          <w:lang w:val="sv-SE"/>
        </w:rPr>
        <w:t xml:space="preserve"> </w:t>
      </w:r>
    </w:p>
    <w:p w14:paraId="1D1F6A6E" w14:textId="1BD3F045" w:rsidR="007470C6" w:rsidRPr="00531BD4" w:rsidRDefault="007470C6" w:rsidP="00531BD4">
      <w:pPr>
        <w:pStyle w:val="Odlomakpopisa"/>
        <w:numPr>
          <w:ilvl w:val="0"/>
          <w:numId w:val="5"/>
        </w:numPr>
        <w:spacing w:before="180" w:after="0" w:line="269" w:lineRule="atLeast"/>
        <w:ind w:right="-200"/>
        <w:jc w:val="both"/>
        <w:rPr>
          <w:rFonts w:ascii="Calibri" w:eastAsia="Calibri" w:hAnsi="Calibri" w:cs="Calibri"/>
          <w:lang w:val="sv-SE"/>
        </w:rPr>
      </w:pPr>
      <w:r w:rsidRPr="00531BD4">
        <w:rPr>
          <w:rFonts w:ascii="Calibri" w:eastAsia="Calibri" w:hAnsi="Calibri" w:cs="Calibri"/>
          <w:color w:val="000000"/>
          <w:lang w:val="sv-SE" w:bidi="bs-Latn-BA"/>
        </w:rPr>
        <w:t>vanrednim</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događajima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koji</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nastanu</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radi</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drugačijeg</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sastava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otpadne</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vode,</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kvarova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na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instalacijama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i</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sl.</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te</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njihovo</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vrijeme</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trajanja</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i</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način</w:t>
      </w:r>
      <w:r w:rsidRPr="00531BD4">
        <w:rPr>
          <w:rFonts w:ascii="Calibri" w:eastAsia="Calibri" w:hAnsi="Calibri" w:cs="Calibri"/>
          <w:color w:val="000000"/>
          <w:lang w:val="sv-SE"/>
        </w:rPr>
        <w:t xml:space="preserve"> </w:t>
      </w:r>
      <w:r w:rsidRPr="00531BD4">
        <w:rPr>
          <w:rFonts w:ascii="Calibri" w:eastAsia="Calibri" w:hAnsi="Calibri" w:cs="Calibri"/>
          <w:color w:val="000000"/>
          <w:lang w:val="sv-SE" w:bidi="bs-Latn-BA"/>
        </w:rPr>
        <w:t>sanacije.</w:t>
      </w:r>
      <w:r w:rsidRPr="00531BD4">
        <w:rPr>
          <w:rFonts w:ascii="Calibri" w:eastAsia="Calibri" w:hAnsi="Calibri" w:cs="Calibri"/>
          <w:color w:val="000000"/>
          <w:lang w:val="sv-SE"/>
        </w:rPr>
        <w:t xml:space="preserve"> </w:t>
      </w:r>
    </w:p>
    <w:p w14:paraId="1F5E2830" w14:textId="180E782F" w:rsidR="00213C60" w:rsidRPr="00531BD4" w:rsidRDefault="007470C6" w:rsidP="00531BD4">
      <w:pPr>
        <w:spacing w:before="164" w:line="287" w:lineRule="atLeast"/>
        <w:ind w:right="164"/>
        <w:rPr>
          <w:rFonts w:ascii="Calibri" w:eastAsia="Calibri" w:hAnsi="Calibri" w:cs="Calibri"/>
        </w:rPr>
      </w:pPr>
      <w:r>
        <w:rPr>
          <w:rFonts w:ascii="Calibri" w:eastAsia="Calibri" w:hAnsi="Calibri" w:cs="Calibri"/>
          <w:color w:val="000000"/>
          <w:lang w:bidi="bs-Latn-BA"/>
        </w:rPr>
        <w:t xml:space="preserve">     </w:t>
      </w:r>
      <w:r w:rsidRPr="007470C6">
        <w:rPr>
          <w:rFonts w:ascii="Calibri" w:eastAsia="Calibri" w:hAnsi="Calibri" w:cs="Calibri"/>
          <w:color w:val="000000"/>
          <w:lang w:bidi="bs-Latn-BA"/>
        </w:rPr>
        <w:t>U</w:t>
      </w:r>
      <w:r w:rsidRPr="007470C6">
        <w:rPr>
          <w:rFonts w:ascii="Calibri" w:eastAsia="Calibri" w:hAnsi="Calibri" w:cs="Calibri"/>
          <w:color w:val="000000"/>
        </w:rPr>
        <w:t xml:space="preserve"> </w:t>
      </w:r>
      <w:r w:rsidRPr="007470C6">
        <w:rPr>
          <w:rFonts w:ascii="Calibri" w:eastAsia="Calibri" w:hAnsi="Calibri" w:cs="Calibri"/>
          <w:color w:val="000000"/>
          <w:lang w:bidi="bs-Latn-BA"/>
        </w:rPr>
        <w:t>svim</w:t>
      </w:r>
      <w:r w:rsidRPr="007470C6">
        <w:rPr>
          <w:rFonts w:ascii="Calibri" w:eastAsia="Calibri" w:hAnsi="Calibri" w:cs="Calibri"/>
          <w:color w:val="000000"/>
        </w:rPr>
        <w:t xml:space="preserve"> </w:t>
      </w:r>
      <w:r w:rsidRPr="007470C6">
        <w:rPr>
          <w:rFonts w:ascii="Calibri" w:eastAsia="Calibri" w:hAnsi="Calibri" w:cs="Calibri"/>
          <w:color w:val="000000"/>
          <w:lang w:bidi="bs-Latn-BA"/>
        </w:rPr>
        <w:t>aktivnostima</w:t>
      </w:r>
      <w:r w:rsidRPr="007470C6">
        <w:rPr>
          <w:rFonts w:ascii="Calibri" w:eastAsia="Calibri" w:hAnsi="Calibri" w:cs="Calibri"/>
          <w:color w:val="000000"/>
        </w:rPr>
        <w:t xml:space="preserve"> </w:t>
      </w:r>
      <w:r w:rsidRPr="007470C6">
        <w:rPr>
          <w:rFonts w:ascii="Calibri" w:eastAsia="Calibri" w:hAnsi="Calibri" w:cs="Calibri"/>
          <w:color w:val="000000"/>
          <w:lang w:bidi="bs-Latn-BA"/>
        </w:rPr>
        <w:t>potrebno</w:t>
      </w:r>
      <w:r w:rsidRPr="007470C6">
        <w:rPr>
          <w:rFonts w:ascii="Calibri" w:eastAsia="Calibri" w:hAnsi="Calibri" w:cs="Calibri"/>
          <w:color w:val="000000"/>
        </w:rPr>
        <w:t xml:space="preserve"> </w:t>
      </w:r>
      <w:r w:rsidRPr="007470C6">
        <w:rPr>
          <w:rFonts w:ascii="Calibri" w:eastAsia="Calibri" w:hAnsi="Calibri" w:cs="Calibri"/>
          <w:color w:val="000000"/>
          <w:lang w:bidi="bs-Latn-BA"/>
        </w:rPr>
        <w:t>je</w:t>
      </w:r>
      <w:r w:rsidRPr="007470C6">
        <w:rPr>
          <w:rFonts w:ascii="Calibri" w:eastAsia="Calibri" w:hAnsi="Calibri" w:cs="Calibri"/>
          <w:color w:val="000000"/>
        </w:rPr>
        <w:t xml:space="preserve"> </w:t>
      </w:r>
      <w:r w:rsidRPr="007470C6">
        <w:rPr>
          <w:rFonts w:ascii="Calibri" w:eastAsia="Calibri" w:hAnsi="Calibri" w:cs="Calibri"/>
          <w:color w:val="000000"/>
          <w:lang w:bidi="bs-Latn-BA"/>
        </w:rPr>
        <w:t>postupiti</w:t>
      </w:r>
      <w:r w:rsidRPr="007470C6">
        <w:rPr>
          <w:rFonts w:ascii="Calibri" w:eastAsia="Calibri" w:hAnsi="Calibri" w:cs="Calibri"/>
          <w:color w:val="000000"/>
        </w:rPr>
        <w:t xml:space="preserve"> </w:t>
      </w:r>
      <w:r w:rsidRPr="007470C6">
        <w:rPr>
          <w:rFonts w:ascii="Calibri" w:eastAsia="Calibri" w:hAnsi="Calibri" w:cs="Calibri"/>
          <w:color w:val="000000"/>
          <w:lang w:bidi="bs-Latn-BA"/>
        </w:rPr>
        <w:t>u</w:t>
      </w:r>
      <w:r w:rsidRPr="007470C6">
        <w:rPr>
          <w:rFonts w:ascii="Calibri" w:eastAsia="Calibri" w:hAnsi="Calibri" w:cs="Calibri"/>
          <w:color w:val="000000"/>
        </w:rPr>
        <w:t xml:space="preserve"> </w:t>
      </w:r>
      <w:r w:rsidRPr="007470C6">
        <w:rPr>
          <w:rFonts w:ascii="Calibri" w:eastAsia="Calibri" w:hAnsi="Calibri" w:cs="Calibri"/>
          <w:color w:val="000000"/>
          <w:lang w:bidi="bs-Latn-BA"/>
        </w:rPr>
        <w:t>skladu</w:t>
      </w:r>
      <w:r w:rsidRPr="007470C6">
        <w:rPr>
          <w:rFonts w:ascii="Calibri" w:eastAsia="Calibri" w:hAnsi="Calibri" w:cs="Calibri"/>
          <w:color w:val="000000"/>
        </w:rPr>
        <w:t xml:space="preserve"> </w:t>
      </w:r>
      <w:r w:rsidRPr="007470C6">
        <w:rPr>
          <w:rFonts w:ascii="Calibri" w:eastAsia="Calibri" w:hAnsi="Calibri" w:cs="Calibri"/>
          <w:color w:val="000000"/>
          <w:lang w:bidi="bs-Latn-BA"/>
        </w:rPr>
        <w:t>sa</w:t>
      </w:r>
      <w:r w:rsidRPr="007470C6">
        <w:rPr>
          <w:rFonts w:ascii="Calibri" w:eastAsia="Calibri" w:hAnsi="Calibri" w:cs="Calibri"/>
          <w:color w:val="000000"/>
        </w:rPr>
        <w:t xml:space="preserve"> </w:t>
      </w:r>
      <w:r w:rsidRPr="007470C6">
        <w:rPr>
          <w:rFonts w:ascii="Calibri" w:eastAsia="Calibri" w:hAnsi="Calibri" w:cs="Calibri"/>
          <w:color w:val="000000"/>
          <w:lang w:bidi="bs-Latn-BA"/>
        </w:rPr>
        <w:t>važećim</w:t>
      </w:r>
      <w:r w:rsidRPr="007470C6">
        <w:rPr>
          <w:rFonts w:ascii="Calibri" w:eastAsia="Calibri" w:hAnsi="Calibri" w:cs="Calibri"/>
          <w:color w:val="000000"/>
        </w:rPr>
        <w:t xml:space="preserve"> </w:t>
      </w:r>
      <w:r w:rsidRPr="007470C6">
        <w:rPr>
          <w:rFonts w:ascii="Calibri" w:eastAsia="Calibri" w:hAnsi="Calibri" w:cs="Calibri"/>
          <w:color w:val="000000"/>
          <w:lang w:bidi="bs-Latn-BA"/>
        </w:rPr>
        <w:t>vodnim</w:t>
      </w:r>
      <w:r w:rsidRPr="007470C6">
        <w:rPr>
          <w:rFonts w:ascii="Calibri" w:eastAsia="Calibri" w:hAnsi="Calibri" w:cs="Calibri"/>
          <w:color w:val="000000"/>
        </w:rPr>
        <w:t xml:space="preserve"> </w:t>
      </w:r>
      <w:r w:rsidRPr="007470C6">
        <w:rPr>
          <w:rFonts w:ascii="Calibri" w:eastAsia="Calibri" w:hAnsi="Calibri" w:cs="Calibri"/>
          <w:color w:val="000000"/>
          <w:lang w:bidi="bs-Latn-BA"/>
        </w:rPr>
        <w:t>aktima.</w:t>
      </w:r>
      <w:r w:rsidRPr="007470C6">
        <w:rPr>
          <w:rFonts w:ascii="Calibri" w:eastAsia="Calibri" w:hAnsi="Calibri" w:cs="Calibri"/>
          <w:color w:val="000000"/>
        </w:rPr>
        <w:t xml:space="preserve"> </w:t>
      </w:r>
    </w:p>
    <w:p w14:paraId="629A3476" w14:textId="324F3F8F" w:rsidR="00213C60" w:rsidRDefault="00213C60" w:rsidP="00207FBE">
      <w:pPr>
        <w:tabs>
          <w:tab w:val="left" w:pos="1950"/>
        </w:tabs>
        <w:spacing w:after="0"/>
        <w:ind w:left="360"/>
        <w:jc w:val="both"/>
        <w:rPr>
          <w:b/>
          <w:bCs/>
        </w:rPr>
      </w:pPr>
      <w:r w:rsidRPr="00213C60">
        <w:rPr>
          <w:b/>
          <w:bCs/>
        </w:rPr>
        <w:lastRenderedPageBreak/>
        <w:t>5.3. Upravljanje otpadom</w:t>
      </w:r>
    </w:p>
    <w:p w14:paraId="0CD67C3C" w14:textId="694B440F" w:rsidR="00213C60" w:rsidRDefault="00213C60" w:rsidP="00207FBE">
      <w:pPr>
        <w:tabs>
          <w:tab w:val="left" w:pos="1950"/>
        </w:tabs>
        <w:spacing w:after="0"/>
        <w:ind w:left="360"/>
        <w:jc w:val="both"/>
      </w:pPr>
      <w:r>
        <w:t>Prikupljene koli</w:t>
      </w:r>
      <w:r w:rsidR="007B4CDF">
        <w:t>čine šljake se odvoze za izradu šljako blokova firmi „Zlatić“ d.o.o. Travnik sa kojim postoji ugovor o preuzimanju šljake sa deponije u krugu toplane. Kompanija „UNIS – ENERGETIKA“ d.o.o. podružnica Novi Travnik ima sklopljen ugovor sa kompanijom DELTA PETROL d.o.o. Kakanj za odvoz i zbrinjavanje svih prikupljenih otpadnih ulja sa lokacije, za radove na čišćenju uljnog separatora (kapacitet manji od 4m3), te odvoz otpadnog mulja i taloga (tretman otpadnih voda) nakon čišćenja uljnog separatora. Rabljena motorna ulja prikupljaju se do konačnog preuzimanja od strane ovlaštene kompanije. Prilikom transporta prikupljeno ulje se adekvatno zbrinjava u adekvatnoj ambalaži.</w:t>
      </w:r>
    </w:p>
    <w:p w14:paraId="7DF9A30B" w14:textId="553F011C" w:rsidR="00110D9A" w:rsidRPr="00110D9A" w:rsidRDefault="00110D9A" w:rsidP="00531BD4">
      <w:pPr>
        <w:spacing w:after="0"/>
        <w:contextualSpacing/>
        <w:jc w:val="both"/>
        <w:rPr>
          <w:kern w:val="0"/>
          <w14:ligatures w14:val="none"/>
        </w:rPr>
      </w:pPr>
      <w:r w:rsidRPr="00110D9A">
        <w:rPr>
          <w:kern w:val="0"/>
          <w14:ligatures w14:val="none"/>
        </w:rPr>
        <w:t>Operator je dužan preduzeti i obvezno provoditi sve mjere propisane Planom upravljanja otpadom kao i sljedeće mjere za postupanje sa otpadom odnosno za upravljanje otpadnim materijalima:</w:t>
      </w:r>
    </w:p>
    <w:p w14:paraId="6CF0D81A" w14:textId="42581A6F" w:rsidR="00110D9A" w:rsidRPr="00110D9A" w:rsidRDefault="00110D9A" w:rsidP="00110D9A">
      <w:pPr>
        <w:numPr>
          <w:ilvl w:val="0"/>
          <w:numId w:val="9"/>
        </w:numPr>
        <w:spacing w:after="0"/>
        <w:contextualSpacing/>
        <w:jc w:val="both"/>
        <w:rPr>
          <w:kern w:val="0"/>
          <w14:ligatures w14:val="none"/>
        </w:rPr>
      </w:pPr>
      <w:r w:rsidRPr="00110D9A">
        <w:rPr>
          <w:kern w:val="0"/>
          <w14:ligatures w14:val="none"/>
        </w:rPr>
        <w:t>Osigurati provođenje mjera za sprečavanje nastanka otpad</w:t>
      </w:r>
      <w:r w:rsidR="00152E8E">
        <w:rPr>
          <w:kern w:val="0"/>
          <w14:ligatures w14:val="none"/>
        </w:rPr>
        <w:t>a</w:t>
      </w:r>
      <w:r w:rsidRPr="00110D9A">
        <w:rPr>
          <w:kern w:val="0"/>
          <w14:ligatures w14:val="none"/>
        </w:rPr>
        <w:t>, njegovo selektivno sakupljanje po pojedinim kategorijama u cilju otpreme ovlaštenim operaterima sistema za upravljanje kao i sakupljanje miješanog komunalnog otpada i njegovu opremu na komunalnu deponiju angažovanjem nadležnog komunalnog preduzeća.</w:t>
      </w:r>
    </w:p>
    <w:p w14:paraId="6E9F4811" w14:textId="77777777" w:rsidR="00110D9A" w:rsidRPr="00110D9A" w:rsidRDefault="00110D9A" w:rsidP="00110D9A">
      <w:pPr>
        <w:spacing w:after="0"/>
        <w:ind w:left="1440"/>
        <w:contextualSpacing/>
        <w:jc w:val="both"/>
        <w:rPr>
          <w:kern w:val="0"/>
          <w14:ligatures w14:val="none"/>
        </w:rPr>
      </w:pPr>
      <w:r w:rsidRPr="00110D9A">
        <w:rPr>
          <w:kern w:val="0"/>
          <w14:ligatures w14:val="none"/>
        </w:rPr>
        <w:t>Rok: stalna obaveza.</w:t>
      </w:r>
    </w:p>
    <w:p w14:paraId="6F9CA04B" w14:textId="77777777" w:rsidR="00110D9A" w:rsidRPr="00110D9A" w:rsidRDefault="00110D9A" w:rsidP="00110D9A">
      <w:pPr>
        <w:numPr>
          <w:ilvl w:val="0"/>
          <w:numId w:val="9"/>
        </w:numPr>
        <w:spacing w:after="0"/>
        <w:contextualSpacing/>
        <w:jc w:val="both"/>
        <w:rPr>
          <w:kern w:val="0"/>
          <w14:ligatures w14:val="none"/>
        </w:rPr>
      </w:pPr>
      <w:r w:rsidRPr="00110D9A">
        <w:rPr>
          <w:kern w:val="0"/>
          <w14:ligatures w14:val="none"/>
        </w:rPr>
        <w:t>Osigurati propisane uvjete za sakupljanje i privremeno skladištenje opasnih vrsta otpada (npr.otpadna ulja, akumulatori, uljni filteri, električni i elektronski otpad i dr.), te vođenje evidencije o količinama opasnog otpada po vrsti i otpremi ovlaštenim operaterima.</w:t>
      </w:r>
    </w:p>
    <w:p w14:paraId="66BE61A4" w14:textId="77777777" w:rsidR="00110D9A" w:rsidRPr="00110D9A" w:rsidRDefault="00110D9A" w:rsidP="00110D9A">
      <w:pPr>
        <w:numPr>
          <w:ilvl w:val="0"/>
          <w:numId w:val="9"/>
        </w:numPr>
        <w:spacing w:after="0"/>
        <w:contextualSpacing/>
        <w:jc w:val="both"/>
        <w:rPr>
          <w:kern w:val="0"/>
          <w14:ligatures w14:val="none"/>
        </w:rPr>
      </w:pPr>
      <w:r w:rsidRPr="00110D9A">
        <w:rPr>
          <w:kern w:val="0"/>
          <w14:ligatures w14:val="none"/>
        </w:rPr>
        <w:t>Redovno vršiti monitoring i voditi evidenciju o količinama otpada po vrstama odnosno kategorijama otpada i načinu njihovog zbrinjavanja, odnosno isporuci ovlaštenim operaterima sistema za upravljanje pojedinim kategorijama otpada (kojem operateru se i u kojoj količini isporučuju određene vrste/kategorije otpada), a u skladu sa odredbama pravilnika o kategorijama otpada sa listama.</w:t>
      </w:r>
    </w:p>
    <w:p w14:paraId="2380DCEB" w14:textId="2411ADA3" w:rsidR="00110D9A" w:rsidRPr="00110D9A" w:rsidRDefault="00110D9A" w:rsidP="00531BD4">
      <w:pPr>
        <w:spacing w:after="0"/>
        <w:ind w:left="1440"/>
        <w:contextualSpacing/>
        <w:jc w:val="both"/>
        <w:rPr>
          <w:kern w:val="0"/>
          <w14:ligatures w14:val="none"/>
        </w:rPr>
      </w:pPr>
      <w:r w:rsidRPr="00110D9A">
        <w:rPr>
          <w:kern w:val="0"/>
          <w14:ligatures w14:val="none"/>
        </w:rPr>
        <w:t>Rok: stalna obaveza.</w:t>
      </w:r>
    </w:p>
    <w:p w14:paraId="21A7DC18" w14:textId="77777777" w:rsidR="00110D9A" w:rsidRPr="00110D9A" w:rsidRDefault="00110D9A" w:rsidP="00110D9A">
      <w:pPr>
        <w:spacing w:after="0"/>
        <w:contextualSpacing/>
        <w:jc w:val="both"/>
        <w:rPr>
          <w:kern w:val="0"/>
          <w14:ligatures w14:val="none"/>
        </w:rPr>
      </w:pPr>
      <w:r w:rsidRPr="00110D9A">
        <w:rPr>
          <w:kern w:val="0"/>
          <w14:ligatures w14:val="none"/>
        </w:rPr>
        <w:t>Investitor je imenovao odgovorno lice za upravljanje otpadom, koje je dužno ustrojiti i uredno voditi evidenciju o količinama produktivnog otpada po vrstama odnosno kategorijama otpada i načinu njegovog zbrinjavanja, odnosno isporuci ovlaštenim operaterima sistema za upravljanje pojedinim kategorijama otpada (kojem operateru se i u kojoj količini isporučuju određene vrste/kategorije otpada), a u skladu sa odredbama Pravilnika o kategorijama otpada sa listama („Službene novine Federacije BiH“, broj: 09/05).</w:t>
      </w:r>
    </w:p>
    <w:p w14:paraId="568537A8" w14:textId="1F6B55F7" w:rsidR="007B4CDF" w:rsidRPr="00611B73" w:rsidRDefault="007B4CDF" w:rsidP="00207FBE">
      <w:pPr>
        <w:tabs>
          <w:tab w:val="left" w:pos="1950"/>
        </w:tabs>
        <w:spacing w:after="0"/>
        <w:ind w:left="360"/>
        <w:jc w:val="both"/>
        <w:rPr>
          <w:b/>
          <w:bCs/>
        </w:rPr>
      </w:pPr>
      <w:r w:rsidRPr="00611B73">
        <w:rPr>
          <w:b/>
          <w:bCs/>
        </w:rPr>
        <w:t>5.4. Održavanje opreme</w:t>
      </w:r>
    </w:p>
    <w:p w14:paraId="332C65B8" w14:textId="72A704B6" w:rsidR="007B4CDF" w:rsidRDefault="007B4CDF" w:rsidP="00611B73">
      <w:pPr>
        <w:tabs>
          <w:tab w:val="left" w:pos="1950"/>
        </w:tabs>
        <w:spacing w:after="0"/>
        <w:ind w:left="360"/>
        <w:jc w:val="both"/>
      </w:pPr>
      <w:r>
        <w:t>Redovita održavanja postrojenja koja su vezana za proces rada, obavljaju se jednom godišnje u redovnom remontu:</w:t>
      </w:r>
    </w:p>
    <w:p w14:paraId="63BEE08B" w14:textId="77777777" w:rsidR="00531BD4" w:rsidRDefault="007B4CDF" w:rsidP="00611B73">
      <w:pPr>
        <w:tabs>
          <w:tab w:val="left" w:pos="1950"/>
        </w:tabs>
        <w:spacing w:after="0"/>
        <w:ind w:left="360"/>
        <w:jc w:val="both"/>
      </w:pPr>
      <w:r>
        <w:t>- kod rada na reduktorima ulje se mijenja nakon određenog broja sati rada, izmjenjena ulja se</w:t>
      </w:r>
    </w:p>
    <w:p w14:paraId="6684D36C" w14:textId="77777777" w:rsidR="00531BD4" w:rsidRDefault="00531BD4" w:rsidP="00531BD4">
      <w:pPr>
        <w:tabs>
          <w:tab w:val="left" w:pos="1950"/>
        </w:tabs>
        <w:spacing w:after="0"/>
        <w:jc w:val="both"/>
      </w:pPr>
      <w:r>
        <w:t xml:space="preserve">        </w:t>
      </w:r>
      <w:r w:rsidR="007B4CDF">
        <w:t xml:space="preserve"> propisno odlažu u zatvorene kante i prikupljene količine propisno se transportuju prema onima</w:t>
      </w:r>
    </w:p>
    <w:p w14:paraId="40999FF4" w14:textId="21686EAA" w:rsidR="007B4CDF" w:rsidRDefault="00531BD4" w:rsidP="00531BD4">
      <w:pPr>
        <w:tabs>
          <w:tab w:val="left" w:pos="1950"/>
        </w:tabs>
        <w:spacing w:after="0"/>
        <w:jc w:val="both"/>
      </w:pPr>
      <w:r>
        <w:t xml:space="preserve">         </w:t>
      </w:r>
      <w:r w:rsidR="007B4CDF">
        <w:t>koji brinu o tim starim uljima,</w:t>
      </w:r>
    </w:p>
    <w:p w14:paraId="379D2B9D" w14:textId="77777777" w:rsidR="00835460" w:rsidRDefault="007B4CDF" w:rsidP="00611B73">
      <w:pPr>
        <w:tabs>
          <w:tab w:val="left" w:pos="1950"/>
        </w:tabs>
        <w:spacing w:after="0"/>
        <w:ind w:left="360"/>
        <w:jc w:val="both"/>
      </w:pPr>
      <w:r>
        <w:t xml:space="preserve">- izvedeni multicikloni se moraju održavati od zaprljanja da bi se spriječilo začepljavanje, što znači </w:t>
      </w:r>
      <w:r w:rsidR="00835460">
        <w:t xml:space="preserve"> </w:t>
      </w:r>
    </w:p>
    <w:p w14:paraId="514E09FF" w14:textId="57C7A742" w:rsidR="007B4CDF" w:rsidRDefault="00835460" w:rsidP="00611B73">
      <w:pPr>
        <w:tabs>
          <w:tab w:val="left" w:pos="1950"/>
        </w:tabs>
        <w:spacing w:after="0"/>
        <w:ind w:left="360"/>
        <w:jc w:val="both"/>
      </w:pPr>
      <w:r>
        <w:t xml:space="preserve">  </w:t>
      </w:r>
      <w:r w:rsidR="007B4CDF">
        <w:t>da dozator mora stalno da radi dok kotao radi,</w:t>
      </w:r>
    </w:p>
    <w:p w14:paraId="7B648112" w14:textId="0B101D7C" w:rsidR="007B4CDF" w:rsidRDefault="007B4CDF" w:rsidP="00611B73">
      <w:pPr>
        <w:tabs>
          <w:tab w:val="left" w:pos="1950"/>
        </w:tabs>
        <w:spacing w:after="0"/>
        <w:ind w:left="360"/>
        <w:jc w:val="both"/>
      </w:pPr>
      <w:r>
        <w:t>- redovito svakodnevno vršiti praćenje i rad čitavog sistema,</w:t>
      </w:r>
    </w:p>
    <w:p w14:paraId="273DD55E" w14:textId="77777777" w:rsidR="00835460" w:rsidRDefault="007B4CDF" w:rsidP="00611B73">
      <w:pPr>
        <w:tabs>
          <w:tab w:val="left" w:pos="1950"/>
        </w:tabs>
        <w:spacing w:after="0"/>
        <w:ind w:left="360"/>
        <w:jc w:val="both"/>
      </w:pPr>
      <w:r>
        <w:t xml:space="preserve">- povremeno vršiti otvaranje revizonih otvora radi kontrole mogućih naslagama po stijenkama </w:t>
      </w:r>
    </w:p>
    <w:p w14:paraId="50D0C3C6" w14:textId="4F43A522" w:rsidR="007B4CDF" w:rsidRDefault="00835460" w:rsidP="00611B73">
      <w:pPr>
        <w:tabs>
          <w:tab w:val="left" w:pos="1950"/>
        </w:tabs>
        <w:spacing w:after="0"/>
        <w:ind w:left="360"/>
        <w:jc w:val="both"/>
      </w:pPr>
      <w:r>
        <w:t xml:space="preserve">  </w:t>
      </w:r>
      <w:r w:rsidR="007B4CDF">
        <w:t>multiciklona,</w:t>
      </w:r>
    </w:p>
    <w:p w14:paraId="613F0E4F" w14:textId="77777777" w:rsidR="00835460" w:rsidRDefault="007B4CDF" w:rsidP="00611B73">
      <w:pPr>
        <w:tabs>
          <w:tab w:val="left" w:pos="1950"/>
        </w:tabs>
        <w:spacing w:after="0"/>
        <w:ind w:left="360"/>
        <w:jc w:val="both"/>
      </w:pPr>
      <w:r>
        <w:t xml:space="preserve">- redovito nadgledati bunar </w:t>
      </w:r>
      <w:r w:rsidR="00611B73">
        <w:t xml:space="preserve">(vlastito izvorište) u toku eksploatacije i u ljetnom periodu kada je nešto </w:t>
      </w:r>
    </w:p>
    <w:p w14:paraId="48D30FAE" w14:textId="79DA4DBB" w:rsidR="007B4CDF" w:rsidRDefault="00835460" w:rsidP="00611B73">
      <w:pPr>
        <w:tabs>
          <w:tab w:val="left" w:pos="1950"/>
        </w:tabs>
        <w:spacing w:after="0"/>
        <w:ind w:left="360"/>
        <w:jc w:val="both"/>
      </w:pPr>
      <w:r>
        <w:t xml:space="preserve">  </w:t>
      </w:r>
      <w:r w:rsidR="00611B73">
        <w:t>manji dotok vode pa se izvrši brzo pražnjenje i čićenje od mulja,</w:t>
      </w:r>
    </w:p>
    <w:p w14:paraId="25FF69CE" w14:textId="5328E4AF" w:rsidR="00611B73" w:rsidRDefault="00611B73" w:rsidP="00611B73">
      <w:pPr>
        <w:tabs>
          <w:tab w:val="left" w:pos="1950"/>
        </w:tabs>
        <w:spacing w:after="0"/>
        <w:ind w:left="360"/>
        <w:jc w:val="both"/>
      </w:pPr>
      <w:r>
        <w:t>- redovito se vrši rahlanje pijeska i ispiranje mogućih polijepljenih taloga sa kvarca,</w:t>
      </w:r>
    </w:p>
    <w:p w14:paraId="5B284F58" w14:textId="2618DC20" w:rsidR="00611B73" w:rsidRDefault="00611B73" w:rsidP="00611B73">
      <w:pPr>
        <w:tabs>
          <w:tab w:val="left" w:pos="1950"/>
        </w:tabs>
        <w:spacing w:after="0"/>
        <w:ind w:left="360"/>
        <w:jc w:val="both"/>
      </w:pPr>
      <w:r>
        <w:t>- pregled kvaliteta pijeska obaviti svakog drugog remonta svih ostalih postrojenja,</w:t>
      </w:r>
    </w:p>
    <w:p w14:paraId="565C9EA8" w14:textId="77777777" w:rsidR="00835460" w:rsidRDefault="00611B73" w:rsidP="000A03C9">
      <w:pPr>
        <w:tabs>
          <w:tab w:val="left" w:pos="1950"/>
        </w:tabs>
        <w:spacing w:after="0"/>
        <w:ind w:left="360"/>
        <w:jc w:val="both"/>
      </w:pPr>
      <w:r>
        <w:t>- redovito nadzirati i uredno održavati oborinski kanal koji prolazi pored deponije uglja i šljake, a u</w:t>
      </w:r>
    </w:p>
    <w:p w14:paraId="08B96907" w14:textId="77777777" w:rsidR="00835460" w:rsidRDefault="00835460" w:rsidP="000A03C9">
      <w:pPr>
        <w:tabs>
          <w:tab w:val="left" w:pos="1950"/>
        </w:tabs>
        <w:spacing w:after="0"/>
        <w:ind w:left="360"/>
        <w:jc w:val="both"/>
      </w:pPr>
      <w:r>
        <w:lastRenderedPageBreak/>
        <w:t xml:space="preserve">  </w:t>
      </w:r>
      <w:r w:rsidR="00611B73">
        <w:t xml:space="preserve"> isti se ulijevaju i ostale oborine kao i djeimični otpad tehnoloških otpadnih voda, nataložene</w:t>
      </w:r>
    </w:p>
    <w:p w14:paraId="4D9FB047" w14:textId="0E960C1E" w:rsidR="00C24737" w:rsidRDefault="00835460" w:rsidP="000A03C9">
      <w:pPr>
        <w:tabs>
          <w:tab w:val="left" w:pos="1950"/>
        </w:tabs>
        <w:spacing w:after="0"/>
        <w:ind w:left="360"/>
        <w:jc w:val="both"/>
      </w:pPr>
      <w:r>
        <w:t xml:space="preserve">  </w:t>
      </w:r>
      <w:r w:rsidR="00611B73">
        <w:t xml:space="preserve"> materije čistiti najmanje jednom mjesečno ili češće u ovisnosti od nataloženog sloja</w:t>
      </w:r>
      <w:r w:rsidR="00110D9A">
        <w:t>.</w:t>
      </w:r>
    </w:p>
    <w:p w14:paraId="3063BE17" w14:textId="77777777" w:rsidR="00D24096" w:rsidRPr="00D24096" w:rsidRDefault="00D24096" w:rsidP="00D24096">
      <w:pPr>
        <w:rPr>
          <w:b/>
          <w:bCs/>
          <w:kern w:val="0"/>
          <w14:ligatures w14:val="none"/>
        </w:rPr>
      </w:pPr>
      <w:r w:rsidRPr="00D24096">
        <w:rPr>
          <w:b/>
          <w:bCs/>
          <w:kern w:val="0"/>
          <w14:ligatures w14:val="none"/>
        </w:rPr>
        <w:t>6. Sistem monitoringa</w:t>
      </w:r>
    </w:p>
    <w:p w14:paraId="3ACD88A7" w14:textId="4B0DBE80" w:rsidR="00D24096" w:rsidRPr="00D24096" w:rsidRDefault="00D24096" w:rsidP="00D24096">
      <w:pPr>
        <w:rPr>
          <w:b/>
          <w:bCs/>
          <w:kern w:val="0"/>
          <w14:ligatures w14:val="none"/>
        </w:rPr>
      </w:pPr>
      <w:r w:rsidRPr="00D24096">
        <w:rPr>
          <w:b/>
          <w:bCs/>
          <w:kern w:val="0"/>
          <w14:ligatures w14:val="none"/>
        </w:rPr>
        <w:t>6.1. Prijedlog monitoring plana</w:t>
      </w:r>
    </w:p>
    <w:tbl>
      <w:tblPr>
        <w:tblStyle w:val="Reetkatablice1"/>
        <w:tblW w:w="0" w:type="auto"/>
        <w:tblInd w:w="-289" w:type="dxa"/>
        <w:tblLayout w:type="fixed"/>
        <w:tblLook w:val="04A0" w:firstRow="1" w:lastRow="0" w:firstColumn="1" w:lastColumn="0" w:noHBand="0" w:noVBand="1"/>
      </w:tblPr>
      <w:tblGrid>
        <w:gridCol w:w="1418"/>
        <w:gridCol w:w="3119"/>
        <w:gridCol w:w="3260"/>
        <w:gridCol w:w="1554"/>
      </w:tblGrid>
      <w:tr w:rsidR="00D24096" w:rsidRPr="00D24096" w14:paraId="2A88DDCB" w14:textId="77777777" w:rsidTr="00531BD4">
        <w:tc>
          <w:tcPr>
            <w:tcW w:w="1418" w:type="dxa"/>
            <w:shd w:val="clear" w:color="auto" w:fill="E7E6E6" w:themeFill="background2"/>
          </w:tcPr>
          <w:p w14:paraId="7A0043B5" w14:textId="3C4417A1" w:rsidR="00D24096" w:rsidRPr="00D24096" w:rsidRDefault="00D24096" w:rsidP="00D24096">
            <w:pPr>
              <w:jc w:val="center"/>
              <w:rPr>
                <w:b/>
                <w:bCs/>
              </w:rPr>
            </w:pPr>
            <w:r>
              <w:rPr>
                <w:b/>
                <w:bCs/>
              </w:rPr>
              <w:t>Naziv monitoringa</w:t>
            </w:r>
          </w:p>
        </w:tc>
        <w:tc>
          <w:tcPr>
            <w:tcW w:w="3119" w:type="dxa"/>
            <w:shd w:val="clear" w:color="auto" w:fill="E7E6E6" w:themeFill="background2"/>
          </w:tcPr>
          <w:p w14:paraId="77327D2C" w14:textId="29B069A8" w:rsidR="00D24096" w:rsidRPr="00D24096" w:rsidRDefault="00D24096" w:rsidP="00D24096">
            <w:pPr>
              <w:jc w:val="center"/>
              <w:rPr>
                <w:b/>
                <w:bCs/>
              </w:rPr>
            </w:pPr>
            <w:r>
              <w:rPr>
                <w:b/>
                <w:bCs/>
              </w:rPr>
              <w:t>Zakonska odredba/</w:t>
            </w:r>
            <w:proofErr w:type="spellStart"/>
            <w:r>
              <w:rPr>
                <w:b/>
                <w:bCs/>
              </w:rPr>
              <w:t>provedbeni</w:t>
            </w:r>
            <w:proofErr w:type="spellEnd"/>
            <w:r>
              <w:rPr>
                <w:b/>
                <w:bCs/>
              </w:rPr>
              <w:t xml:space="preserve"> akt</w:t>
            </w:r>
          </w:p>
        </w:tc>
        <w:tc>
          <w:tcPr>
            <w:tcW w:w="3260" w:type="dxa"/>
            <w:shd w:val="clear" w:color="auto" w:fill="E7E6E6" w:themeFill="background2"/>
          </w:tcPr>
          <w:p w14:paraId="3C12F258" w14:textId="3DE80113" w:rsidR="00D24096" w:rsidRPr="00D24096" w:rsidRDefault="00D24096" w:rsidP="00D24096">
            <w:pPr>
              <w:jc w:val="center"/>
              <w:rPr>
                <w:b/>
                <w:bCs/>
              </w:rPr>
            </w:pPr>
            <w:r w:rsidRPr="00D24096">
              <w:rPr>
                <w:b/>
                <w:bCs/>
              </w:rPr>
              <w:t>Mjesto praćenja</w:t>
            </w:r>
            <w:r>
              <w:rPr>
                <w:b/>
                <w:bCs/>
              </w:rPr>
              <w:t>/</w:t>
            </w:r>
          </w:p>
          <w:p w14:paraId="78EBE8FA" w14:textId="0338FB72" w:rsidR="00D24096" w:rsidRPr="00D24096" w:rsidRDefault="00D24096" w:rsidP="00D24096">
            <w:pPr>
              <w:jc w:val="center"/>
              <w:rPr>
                <w:b/>
                <w:bCs/>
              </w:rPr>
            </w:pPr>
            <w:r w:rsidRPr="00D24096">
              <w:rPr>
                <w:b/>
                <w:bCs/>
              </w:rPr>
              <w:t>Dinamika praćenja</w:t>
            </w:r>
          </w:p>
        </w:tc>
        <w:tc>
          <w:tcPr>
            <w:tcW w:w="1554" w:type="dxa"/>
            <w:shd w:val="clear" w:color="auto" w:fill="E7E6E6" w:themeFill="background2"/>
          </w:tcPr>
          <w:p w14:paraId="0D55AADF" w14:textId="77777777" w:rsidR="00D24096" w:rsidRPr="00D24096" w:rsidRDefault="00D24096" w:rsidP="00D24096">
            <w:pPr>
              <w:jc w:val="center"/>
              <w:rPr>
                <w:b/>
                <w:bCs/>
              </w:rPr>
            </w:pPr>
            <w:r w:rsidRPr="00D24096">
              <w:rPr>
                <w:b/>
                <w:bCs/>
              </w:rPr>
              <w:t>Odgovornost</w:t>
            </w:r>
          </w:p>
        </w:tc>
      </w:tr>
      <w:tr w:rsidR="00D24096" w:rsidRPr="00D24096" w14:paraId="779C7EE4" w14:textId="77777777" w:rsidTr="00531BD4">
        <w:tc>
          <w:tcPr>
            <w:tcW w:w="1418" w:type="dxa"/>
          </w:tcPr>
          <w:p w14:paraId="5FB171BC" w14:textId="7F768D7A" w:rsidR="00D24096" w:rsidRPr="00D24096" w:rsidRDefault="00D24096" w:rsidP="00D24096">
            <w:pPr>
              <w:jc w:val="center"/>
            </w:pPr>
            <w:r>
              <w:rPr>
                <w:rFonts w:ascii="Calibri" w:eastAsia="Calibri" w:hAnsi="Calibri" w:cs="Calibri"/>
                <w:color w:val="000000"/>
                <w:lang w:bidi="bs-Latn-BA"/>
              </w:rPr>
              <w:t>Monitoring</w:t>
            </w:r>
            <w:r>
              <w:rPr>
                <w:rFonts w:ascii="Calibri" w:eastAsia="Calibri" w:hAnsi="Calibri" w:cs="Calibri"/>
                <w:color w:val="000000"/>
              </w:rPr>
              <w:t xml:space="preserve"> </w:t>
            </w:r>
            <w:r>
              <w:rPr>
                <w:rFonts w:ascii="Calibri" w:eastAsia="Calibri" w:hAnsi="Calibri" w:cs="Calibri"/>
                <w:color w:val="000000"/>
                <w:lang w:bidi="bs-Latn-BA"/>
              </w:rPr>
              <w:t>emisija</w:t>
            </w:r>
            <w:r>
              <w:rPr>
                <w:rFonts w:ascii="Calibri" w:eastAsia="Calibri" w:hAnsi="Calibri" w:cs="Calibri"/>
                <w:color w:val="000000"/>
              </w:rPr>
              <w:t xml:space="preserve"> </w:t>
            </w:r>
            <w:r>
              <w:rPr>
                <w:rFonts w:ascii="Calibri" w:eastAsia="Calibri" w:hAnsi="Calibri" w:cs="Calibri"/>
                <w:color w:val="000000"/>
                <w:lang w:bidi="bs-Latn-BA"/>
              </w:rPr>
              <w:t>u</w:t>
            </w:r>
            <w:r>
              <w:rPr>
                <w:rFonts w:ascii="Calibri" w:eastAsia="Calibri" w:hAnsi="Calibri" w:cs="Calibri"/>
                <w:color w:val="000000"/>
              </w:rPr>
              <w:t xml:space="preserve"> </w:t>
            </w:r>
            <w:r>
              <w:rPr>
                <w:rFonts w:ascii="Calibri" w:eastAsia="Calibri" w:hAnsi="Calibri" w:cs="Calibri"/>
                <w:color w:val="000000"/>
                <w:lang w:bidi="bs-Latn-BA"/>
              </w:rPr>
              <w:t>zrak</w:t>
            </w:r>
          </w:p>
        </w:tc>
        <w:tc>
          <w:tcPr>
            <w:tcW w:w="3119" w:type="dxa"/>
          </w:tcPr>
          <w:p w14:paraId="3F02078F" w14:textId="2315D216" w:rsidR="00D24096" w:rsidRDefault="00C3790B" w:rsidP="00C3790B">
            <w:r>
              <w:t xml:space="preserve">- Zakon o zaštiti zraka („Sl. Novine </w:t>
            </w:r>
            <w:proofErr w:type="spellStart"/>
            <w:r>
              <w:t>FBiH</w:t>
            </w:r>
            <w:proofErr w:type="spellEnd"/>
            <w:r>
              <w:t>“: br. 33/03, 4/10)</w:t>
            </w:r>
          </w:p>
          <w:p w14:paraId="11087190" w14:textId="63F0AC7B" w:rsidR="00C3790B" w:rsidRDefault="00C3790B" w:rsidP="00C3790B">
            <w:r>
              <w:t xml:space="preserve">- Pravilnik o monitoringu emisija zagađujućih materija u zrak („Sl. novine </w:t>
            </w:r>
            <w:proofErr w:type="spellStart"/>
            <w:r>
              <w:t>FBiH</w:t>
            </w:r>
            <w:proofErr w:type="spellEnd"/>
            <w:r>
              <w:t>“, broj: 9/14, 97/17)</w:t>
            </w:r>
          </w:p>
          <w:p w14:paraId="356533F5" w14:textId="6CE87428" w:rsidR="00C3790B" w:rsidRPr="00D24096" w:rsidRDefault="00C3790B" w:rsidP="00C3790B">
            <w:r>
              <w:t xml:space="preserve">- Pravilnik o graničnim vrijednostima emisija u zrak iz postrojenja za sagorijevanje („Sl. novine </w:t>
            </w:r>
            <w:proofErr w:type="spellStart"/>
            <w:r>
              <w:t>FBiH</w:t>
            </w:r>
            <w:proofErr w:type="spellEnd"/>
            <w:r>
              <w:t>“,</w:t>
            </w:r>
            <w:r w:rsidR="00DA5D00">
              <w:t xml:space="preserve"> </w:t>
            </w:r>
            <w:r>
              <w:t>broj: 3/13, 92/17)</w:t>
            </w:r>
          </w:p>
        </w:tc>
        <w:tc>
          <w:tcPr>
            <w:tcW w:w="3260" w:type="dxa"/>
          </w:tcPr>
          <w:p w14:paraId="3CAA9780" w14:textId="314C0E83" w:rsidR="00D24096" w:rsidRPr="00D24096" w:rsidRDefault="00D24096" w:rsidP="00D24096">
            <w:pPr>
              <w:jc w:val="center"/>
            </w:pPr>
            <w:r w:rsidRPr="00D24096">
              <w:t>Dimovi iz kotlova</w:t>
            </w:r>
            <w:r w:rsidR="00C3790B">
              <w:t>, mjerenje emisija na ispustu</w:t>
            </w:r>
          </w:p>
          <w:p w14:paraId="03E79678" w14:textId="37651A31" w:rsidR="00D24096" w:rsidRPr="00D24096" w:rsidRDefault="00D24096" w:rsidP="00D24096">
            <w:pPr>
              <w:jc w:val="center"/>
            </w:pPr>
            <w:r w:rsidRPr="00D24096">
              <w:t>Jedan put godišnje</w:t>
            </w:r>
          </w:p>
        </w:tc>
        <w:tc>
          <w:tcPr>
            <w:tcW w:w="1554" w:type="dxa"/>
          </w:tcPr>
          <w:p w14:paraId="66842C18" w14:textId="64857C58" w:rsidR="00D24096" w:rsidRPr="00D24096" w:rsidRDefault="00D24096" w:rsidP="00D24096">
            <w:pPr>
              <w:jc w:val="center"/>
            </w:pPr>
            <w:r w:rsidRPr="00D24096">
              <w:t>Operator i Ovlaštena lab</w:t>
            </w:r>
            <w:r>
              <w:t>o</w:t>
            </w:r>
            <w:r w:rsidRPr="00D24096">
              <w:t>ratorija</w:t>
            </w:r>
          </w:p>
        </w:tc>
      </w:tr>
      <w:tr w:rsidR="00D24096" w:rsidRPr="00D24096" w14:paraId="047179AB" w14:textId="77777777" w:rsidTr="00531BD4">
        <w:tc>
          <w:tcPr>
            <w:tcW w:w="1418" w:type="dxa"/>
          </w:tcPr>
          <w:p w14:paraId="49BCD96E" w14:textId="0A4D2824" w:rsidR="00D24096" w:rsidRPr="00D24096" w:rsidRDefault="00D24096" w:rsidP="00D24096">
            <w:pPr>
              <w:jc w:val="center"/>
            </w:pPr>
            <w:r>
              <w:rPr>
                <w:rFonts w:ascii="Calibri" w:eastAsia="Calibri" w:hAnsi="Calibri" w:cs="Calibri"/>
                <w:color w:val="000000"/>
                <w:lang w:bidi="bs-Latn-BA"/>
              </w:rPr>
              <w:t>Monitoring</w:t>
            </w:r>
            <w:r>
              <w:rPr>
                <w:rFonts w:ascii="Calibri" w:eastAsia="Calibri" w:hAnsi="Calibri" w:cs="Calibri"/>
                <w:color w:val="000000"/>
              </w:rPr>
              <w:t xml:space="preserve"> </w:t>
            </w:r>
            <w:r>
              <w:rPr>
                <w:rFonts w:ascii="Calibri" w:eastAsia="Calibri" w:hAnsi="Calibri" w:cs="Calibri"/>
                <w:color w:val="000000"/>
                <w:lang w:bidi="bs-Latn-BA"/>
              </w:rPr>
              <w:t>emisija</w:t>
            </w:r>
            <w:r>
              <w:rPr>
                <w:rFonts w:ascii="Calibri" w:eastAsia="Calibri" w:hAnsi="Calibri" w:cs="Calibri"/>
                <w:color w:val="000000"/>
              </w:rPr>
              <w:t xml:space="preserve"> </w:t>
            </w:r>
            <w:r>
              <w:rPr>
                <w:rFonts w:ascii="Calibri" w:eastAsia="Calibri" w:hAnsi="Calibri" w:cs="Calibri"/>
                <w:color w:val="000000"/>
                <w:lang w:bidi="bs-Latn-BA"/>
              </w:rPr>
              <w:t>u</w:t>
            </w:r>
            <w:r>
              <w:rPr>
                <w:rFonts w:ascii="Calibri" w:eastAsia="Calibri" w:hAnsi="Calibri" w:cs="Calibri"/>
                <w:color w:val="000000"/>
              </w:rPr>
              <w:t xml:space="preserve"> </w:t>
            </w:r>
            <w:r>
              <w:rPr>
                <w:rFonts w:ascii="Calibri" w:eastAsia="Calibri" w:hAnsi="Calibri" w:cs="Calibri"/>
                <w:color w:val="000000"/>
                <w:lang w:bidi="bs-Latn-BA"/>
              </w:rPr>
              <w:t>vode</w:t>
            </w:r>
          </w:p>
        </w:tc>
        <w:tc>
          <w:tcPr>
            <w:tcW w:w="3119" w:type="dxa"/>
          </w:tcPr>
          <w:p w14:paraId="6D4AA403" w14:textId="6390CF13" w:rsidR="00D24096" w:rsidRDefault="00C3790B" w:rsidP="00C3790B">
            <w:r>
              <w:t>-</w:t>
            </w:r>
            <w:r w:rsidR="00DA5D00">
              <w:t xml:space="preserve"> </w:t>
            </w:r>
            <w:r w:rsidRPr="00C3790B">
              <w:t xml:space="preserve">Uredba o uslovima ispuštanja otpadnih voda u okoliš i sisteme </w:t>
            </w:r>
            <w:r w:rsidR="00DA5D00">
              <w:t xml:space="preserve">javne kanalizacije („Sl. novine </w:t>
            </w:r>
            <w:proofErr w:type="spellStart"/>
            <w:r w:rsidR="00DA5D00">
              <w:t>FBiH</w:t>
            </w:r>
            <w:proofErr w:type="spellEnd"/>
            <w:r w:rsidR="00DA5D00">
              <w:t>“, broj: 26/20, 96/20)</w:t>
            </w:r>
          </w:p>
          <w:p w14:paraId="6CEE1A50" w14:textId="43E96C31" w:rsidR="00DA5D00" w:rsidRPr="00C3790B" w:rsidRDefault="00DA5D00" w:rsidP="00C3790B">
            <w:r>
              <w:t xml:space="preserve">- Dva puta godišnje  - u skladu sa Pravilnikom o načinu obračunavanja, postupku i rokovima za obračunavanje i praćenje i kontroli izmirivanja obveza na osnovu opće vodne naknade i posebnih </w:t>
            </w:r>
            <w:proofErr w:type="spellStart"/>
            <w:r>
              <w:t>vodnih</w:t>
            </w:r>
            <w:proofErr w:type="spellEnd"/>
            <w:r>
              <w:t xml:space="preserve"> naknada („Sl. Novine FBIH“, broj: 92/07)</w:t>
            </w:r>
          </w:p>
        </w:tc>
        <w:tc>
          <w:tcPr>
            <w:tcW w:w="3260" w:type="dxa"/>
          </w:tcPr>
          <w:p w14:paraId="5DDD8109" w14:textId="6A4F2808" w:rsidR="00D24096" w:rsidRPr="00D24096" w:rsidRDefault="00C3790B" w:rsidP="00D24096">
            <w:pPr>
              <w:jc w:val="center"/>
            </w:pPr>
            <w:r>
              <w:t>Postupanje prema odredbama vodne dozvole</w:t>
            </w:r>
          </w:p>
        </w:tc>
        <w:tc>
          <w:tcPr>
            <w:tcW w:w="1554" w:type="dxa"/>
          </w:tcPr>
          <w:p w14:paraId="15AC0CBD" w14:textId="32EB5CA0" w:rsidR="00D24096" w:rsidRPr="00D24096" w:rsidRDefault="00DA5D00" w:rsidP="00D24096">
            <w:pPr>
              <w:jc w:val="center"/>
            </w:pPr>
            <w:r>
              <w:t>Ovlaštena stručna institucija</w:t>
            </w:r>
          </w:p>
        </w:tc>
      </w:tr>
      <w:tr w:rsidR="00D24096" w:rsidRPr="00D24096" w14:paraId="1244BE2B" w14:textId="77777777" w:rsidTr="00531BD4">
        <w:tc>
          <w:tcPr>
            <w:tcW w:w="1418" w:type="dxa"/>
          </w:tcPr>
          <w:p w14:paraId="105541C8" w14:textId="08E17706" w:rsidR="00D24096" w:rsidRPr="00D24096" w:rsidRDefault="00D24096" w:rsidP="00D24096">
            <w:pPr>
              <w:jc w:val="center"/>
            </w:pPr>
            <w:r>
              <w:rPr>
                <w:rFonts w:ascii="Calibri" w:eastAsia="Calibri" w:hAnsi="Calibri" w:cs="Calibri"/>
                <w:color w:val="000000"/>
                <w:lang w:bidi="bs-Latn-BA"/>
              </w:rPr>
              <w:t>Monitoring</w:t>
            </w:r>
            <w:r>
              <w:rPr>
                <w:rFonts w:ascii="Calibri" w:eastAsia="Calibri" w:hAnsi="Calibri" w:cs="Calibri"/>
                <w:color w:val="000000"/>
              </w:rPr>
              <w:t xml:space="preserve"> </w:t>
            </w:r>
            <w:r>
              <w:rPr>
                <w:rFonts w:ascii="Calibri" w:eastAsia="Calibri" w:hAnsi="Calibri" w:cs="Calibri"/>
                <w:color w:val="000000"/>
                <w:lang w:bidi="bs-Latn-BA"/>
              </w:rPr>
              <w:t>otpada</w:t>
            </w:r>
          </w:p>
        </w:tc>
        <w:tc>
          <w:tcPr>
            <w:tcW w:w="3119" w:type="dxa"/>
          </w:tcPr>
          <w:p w14:paraId="10F0DE7A" w14:textId="77777777" w:rsidR="00D24096" w:rsidRDefault="00DA5D00" w:rsidP="00DA5D00">
            <w:r>
              <w:t>-</w:t>
            </w:r>
            <w:r w:rsidRPr="00DA5D00">
              <w:t xml:space="preserve">Zakon o upravljanju otpadom („Sl. novine </w:t>
            </w:r>
            <w:proofErr w:type="spellStart"/>
            <w:r w:rsidRPr="00DA5D00">
              <w:t>FBiH</w:t>
            </w:r>
            <w:proofErr w:type="spellEnd"/>
            <w:r w:rsidRPr="00DA5D00">
              <w:t>“, broj:33/03, 72/09, 92/17)</w:t>
            </w:r>
          </w:p>
          <w:p w14:paraId="31C95306" w14:textId="2C95E7BC" w:rsidR="00DA5D00" w:rsidRPr="00DA5D00" w:rsidRDefault="00DA5D00" w:rsidP="00DA5D00">
            <w:r>
              <w:t>-Interni akt Plan upravljanja otpadom</w:t>
            </w:r>
          </w:p>
        </w:tc>
        <w:tc>
          <w:tcPr>
            <w:tcW w:w="3260" w:type="dxa"/>
          </w:tcPr>
          <w:p w14:paraId="7EB56F1D" w14:textId="2510EB29" w:rsidR="00D24096" w:rsidRDefault="00A560D6" w:rsidP="00A560D6">
            <w:r>
              <w:t>-Kontinuirano, u procesu rada i u vrijeme remonta,</w:t>
            </w:r>
          </w:p>
          <w:p w14:paraId="1E89AC24" w14:textId="747AC628" w:rsidR="00A560D6" w:rsidRPr="00D24096" w:rsidRDefault="00A560D6" w:rsidP="00A560D6">
            <w:r>
              <w:t>U skladu sa Planom upravljanja otpadom</w:t>
            </w:r>
          </w:p>
        </w:tc>
        <w:tc>
          <w:tcPr>
            <w:tcW w:w="1554" w:type="dxa"/>
          </w:tcPr>
          <w:p w14:paraId="60404EC1" w14:textId="77777777" w:rsidR="000A03C9" w:rsidRPr="000A03C9" w:rsidRDefault="000A03C9" w:rsidP="000A03C9">
            <w:pPr>
              <w:jc w:val="center"/>
            </w:pPr>
            <w:r w:rsidRPr="000A03C9">
              <w:t xml:space="preserve">Radno osoblje </w:t>
            </w:r>
          </w:p>
          <w:p w14:paraId="229D9408" w14:textId="1E1A2013" w:rsidR="00D24096" w:rsidRPr="00D24096" w:rsidRDefault="000A03C9" w:rsidP="000A03C9">
            <w:pPr>
              <w:jc w:val="center"/>
            </w:pPr>
            <w:r w:rsidRPr="000A03C9">
              <w:t>Ovlašteni operatori za upravljane otpadom</w:t>
            </w:r>
          </w:p>
        </w:tc>
      </w:tr>
      <w:tr w:rsidR="00D24096" w:rsidRPr="00D24096" w14:paraId="4C93C4CB" w14:textId="77777777" w:rsidTr="00531BD4">
        <w:tc>
          <w:tcPr>
            <w:tcW w:w="1418" w:type="dxa"/>
          </w:tcPr>
          <w:p w14:paraId="72402121" w14:textId="03FC2CC6" w:rsidR="00D24096" w:rsidRPr="00D24096" w:rsidRDefault="00D24096" w:rsidP="00D24096">
            <w:pPr>
              <w:jc w:val="center"/>
            </w:pPr>
            <w:r>
              <w:rPr>
                <w:rFonts w:ascii="Calibri" w:eastAsia="Calibri" w:hAnsi="Calibri" w:cs="Calibri"/>
                <w:color w:val="000000"/>
                <w:lang w:bidi="bs-Latn-BA"/>
              </w:rPr>
              <w:t>Monitoring</w:t>
            </w:r>
            <w:r>
              <w:rPr>
                <w:rFonts w:ascii="Calibri" w:eastAsia="Calibri" w:hAnsi="Calibri" w:cs="Calibri"/>
                <w:color w:val="000000"/>
              </w:rPr>
              <w:t xml:space="preserve"> </w:t>
            </w:r>
            <w:r>
              <w:rPr>
                <w:rFonts w:ascii="Calibri" w:eastAsia="Calibri" w:hAnsi="Calibri" w:cs="Calibri"/>
                <w:color w:val="000000"/>
                <w:lang w:bidi="bs-Latn-BA"/>
              </w:rPr>
              <w:t>procesa</w:t>
            </w:r>
            <w:r>
              <w:rPr>
                <w:rFonts w:ascii="Calibri" w:eastAsia="Calibri" w:hAnsi="Calibri" w:cs="Calibri"/>
                <w:color w:val="000000"/>
              </w:rPr>
              <w:t xml:space="preserve"> </w:t>
            </w:r>
          </w:p>
        </w:tc>
        <w:tc>
          <w:tcPr>
            <w:tcW w:w="3119" w:type="dxa"/>
          </w:tcPr>
          <w:p w14:paraId="68883F5F" w14:textId="3B313916" w:rsidR="00D24096" w:rsidRPr="00A560D6" w:rsidRDefault="00A560D6" w:rsidP="00A560D6">
            <w:r>
              <w:t>-</w:t>
            </w:r>
            <w:r w:rsidRPr="00A560D6">
              <w:t xml:space="preserve">Interni akti </w:t>
            </w:r>
            <w:proofErr w:type="spellStart"/>
            <w:r w:rsidRPr="00A560D6">
              <w:t>Poduzeća</w:t>
            </w:r>
            <w:proofErr w:type="spellEnd"/>
          </w:p>
          <w:p w14:paraId="2143E0F5" w14:textId="5EBE5E9C" w:rsidR="00A560D6" w:rsidRPr="00A560D6" w:rsidRDefault="00A560D6" w:rsidP="00A560D6">
            <w:r>
              <w:t>-Tehnički propisi</w:t>
            </w:r>
          </w:p>
        </w:tc>
        <w:tc>
          <w:tcPr>
            <w:tcW w:w="3260" w:type="dxa"/>
          </w:tcPr>
          <w:p w14:paraId="0B606957" w14:textId="3568B0FB" w:rsidR="000A03C9" w:rsidRPr="000A03C9" w:rsidRDefault="000A03C9" w:rsidP="000A03C9">
            <w:r w:rsidRPr="000A03C9">
              <w:t>Kontinuirano, u vrijeme pro</w:t>
            </w:r>
            <w:r>
              <w:t>i</w:t>
            </w:r>
            <w:r w:rsidRPr="000A03C9">
              <w:t xml:space="preserve">zvodnog procesa </w:t>
            </w:r>
          </w:p>
          <w:p w14:paraId="2E11CFFE" w14:textId="0F246371" w:rsidR="000A03C9" w:rsidRPr="00D24096" w:rsidRDefault="000A03C9" w:rsidP="000A03C9">
            <w:r w:rsidRPr="000A03C9">
              <w:t>Vođenje  evidencije  u  Dnevniku  pogonskog  rada kotlovnice  kao  i  u  ostalim  internim  propisanim obrascima:</w:t>
            </w:r>
            <w:r>
              <w:t xml:space="preserve"> </w:t>
            </w:r>
            <w:r w:rsidRPr="000A03C9">
              <w:t>svi  parametri  i  podaci  bitni  za  rad pogona, količina utrošenih energenata, pomoćnih materijala,  količina  utrošene  vode  i  električne energije,  rad  i  održavanje  opreme  postrojenja  i instalacija,  ne</w:t>
            </w:r>
            <w:r>
              <w:t xml:space="preserve"> </w:t>
            </w:r>
            <w:proofErr w:type="spellStart"/>
            <w:r w:rsidRPr="000A03C9">
              <w:t>propusnost</w:t>
            </w:r>
            <w:proofErr w:type="spellEnd"/>
            <w:r w:rsidRPr="000A03C9">
              <w:t xml:space="preserve">  gasne  instalacije, </w:t>
            </w:r>
            <w:r>
              <w:t xml:space="preserve"> </w:t>
            </w:r>
            <w:r w:rsidRPr="000A03C9">
              <w:t>ispravnost ostalih instalacija, itd.)</w:t>
            </w:r>
          </w:p>
        </w:tc>
        <w:tc>
          <w:tcPr>
            <w:tcW w:w="1554" w:type="dxa"/>
          </w:tcPr>
          <w:p w14:paraId="0A04A9FA" w14:textId="77777777" w:rsidR="000A03C9" w:rsidRPr="000A03C9" w:rsidRDefault="000A03C9" w:rsidP="000A03C9">
            <w:pPr>
              <w:jc w:val="center"/>
            </w:pPr>
            <w:r w:rsidRPr="000A03C9">
              <w:t xml:space="preserve">Radno osoblje </w:t>
            </w:r>
          </w:p>
          <w:p w14:paraId="7C6512EB" w14:textId="6FF989AD" w:rsidR="00D24096" w:rsidRPr="00D24096" w:rsidRDefault="000A03C9" w:rsidP="000A03C9">
            <w:pPr>
              <w:jc w:val="center"/>
            </w:pPr>
            <w:r w:rsidRPr="000A03C9">
              <w:t xml:space="preserve">Ovlaštena  stručna institucija  (zakonom predviđeni </w:t>
            </w:r>
            <w:proofErr w:type="spellStart"/>
            <w:r w:rsidRPr="000A03C9">
              <w:t>pregledi</w:t>
            </w:r>
            <w:proofErr w:type="spellEnd"/>
            <w:r w:rsidRPr="000A03C9">
              <w:t>)</w:t>
            </w:r>
          </w:p>
        </w:tc>
      </w:tr>
    </w:tbl>
    <w:p w14:paraId="2119D757" w14:textId="77777777" w:rsidR="00D24096" w:rsidRPr="00D24096" w:rsidRDefault="00D24096" w:rsidP="00D24096">
      <w:pPr>
        <w:rPr>
          <w:kern w:val="0"/>
          <w14:ligatures w14:val="none"/>
        </w:rPr>
      </w:pPr>
    </w:p>
    <w:p w14:paraId="173C8A6B" w14:textId="77777777" w:rsidR="00213C60" w:rsidRDefault="00213C60" w:rsidP="00D155AE">
      <w:pPr>
        <w:tabs>
          <w:tab w:val="left" w:pos="1950"/>
        </w:tabs>
        <w:spacing w:after="0"/>
        <w:jc w:val="both"/>
      </w:pPr>
    </w:p>
    <w:p w14:paraId="67702D0B" w14:textId="7F4E1A6F" w:rsidR="00D155AE" w:rsidRDefault="00D155AE" w:rsidP="00D155AE">
      <w:pPr>
        <w:tabs>
          <w:tab w:val="left" w:pos="1950"/>
        </w:tabs>
        <w:spacing w:after="0"/>
        <w:jc w:val="both"/>
      </w:pPr>
      <w:r>
        <w:t>- U skladu sa Pravilnikom o monitoringu zagađujućih materija u zrak (</w:t>
      </w:r>
      <w:r w:rsidR="00AE1F95">
        <w:t>„</w:t>
      </w:r>
      <w:r>
        <w:t>Sl. Novine FBiH</w:t>
      </w:r>
      <w:r w:rsidR="00AE1F95">
        <w:t>“, broj:</w:t>
      </w:r>
      <w:r>
        <w:t xml:space="preserve"> 9/14) obaveza toplane „UNIS – ENERGETIKA“ d.o.o. podružnica Novi Travnik je da vrši periodična/povremena mjerenja emisije i to jednom godišnje sljedeče polutante: SO2, Nox, CO i čvrste čestice, a svake dvije godine pored prethodno nabrojanih i čvrste čestice. Stalno se kontroliše i nabavlja ugalj koji ima što manji udio sumpora, a što veću toplotnu moć Hd, kako bi se smanjila potrošnja goriva. Također, treba voditi računa da se koristi ugalj za koje su kotlovi projektovani (ugalj „Bila“ sa Hd = 15.000 kJ/kg, eventualno nekim drugim, granulacija orah – grah).</w:t>
      </w:r>
    </w:p>
    <w:p w14:paraId="222C97E6" w14:textId="0B009513" w:rsidR="00D155AE" w:rsidRDefault="00D155AE" w:rsidP="00D155AE">
      <w:pPr>
        <w:tabs>
          <w:tab w:val="left" w:pos="1950"/>
        </w:tabs>
        <w:spacing w:after="0"/>
        <w:jc w:val="both"/>
      </w:pPr>
      <w:r>
        <w:t>- Prema Uredbi o uslovima ispuštanja otpadnih voda u prirodne recipijente i sisteme javne kanalizacije („Sl. Novine FBiH</w:t>
      </w:r>
      <w:r w:rsidR="00AE1F95">
        <w:t xml:space="preserve">“, broj: </w:t>
      </w:r>
      <w:r w:rsidR="00D24096">
        <w:t>26</w:t>
      </w:r>
      <w:r>
        <w:t>/</w:t>
      </w:r>
      <w:r w:rsidR="00D24096">
        <w:t>20, 96/20</w:t>
      </w:r>
      <w:r>
        <w:t>) u svim uzorcima ispituju se obvezno: mjerodavni proticaj, temperatura, pH, miris-boja, sadržaj otopljenog kisika, BPK5</w:t>
      </w:r>
      <w:r w:rsidR="00BD16FA">
        <w:t>,</w:t>
      </w:r>
      <w:r>
        <w:t xml:space="preserve"> KPK, suspendirane materije, električne provodljvost, isprarni ostatak, gubitak žarenjem, ukupne suspendirane materije, alkalitet, kloride, sulfate, NH4-N, NO2-N, NO3-N, ukupni azot, orto-fosfate i ukupni fosfor; test toksičnosti (bioogled sa Daphnia magna Straus) kao i sve ostale parametre specifične za predmetnog industrijskog korisnika čije se otpadne vode ispituju.</w:t>
      </w:r>
    </w:p>
    <w:p w14:paraId="740DC0EE" w14:textId="298382F2" w:rsidR="00D155AE" w:rsidRDefault="00D155AE" w:rsidP="00D155AE">
      <w:pPr>
        <w:tabs>
          <w:tab w:val="left" w:pos="1950"/>
        </w:tabs>
        <w:spacing w:after="0"/>
        <w:jc w:val="both"/>
      </w:pPr>
      <w:r>
        <w:t>- Monitoring količine otpada u svakom odjeljenju, kao i dinamika pristizanja otpada se radi preko posebnih obrazaca u koje se upisuju naziv materijala, količina, datum ulaza i izlaza, te primjedbe. Osoblje zaduženo za održavanje čistoće je dužno vršiti selekciju otpadnog materijala</w:t>
      </w:r>
      <w:r w:rsidR="00BD16FA">
        <w:t xml:space="preserve"> na komunalni otpad, papir i karton, metal, staklo itd. Klasificirani otpad potrebno je iznijeti, propisano zapakovano na dogovoreno mjesto prema unaprijed utvrđenom rasporedu tako da ga lica određena za održavanje čistoće mogu preuzeti i prevesti na mjesto za odlaganje. Zadužena osoba iz firme dužna je voditi redovnu evidenciju o količini otpada koji nastane u toku rada kotlovnic</w:t>
      </w:r>
      <w:r w:rsidR="000C4CAD">
        <w:t>e.</w:t>
      </w:r>
    </w:p>
    <w:p w14:paraId="2F3FC09E" w14:textId="77777777" w:rsidR="000C4CAD" w:rsidRDefault="000C4CAD" w:rsidP="00D155AE">
      <w:pPr>
        <w:tabs>
          <w:tab w:val="left" w:pos="1950"/>
        </w:tabs>
        <w:spacing w:after="0"/>
        <w:jc w:val="both"/>
      </w:pPr>
    </w:p>
    <w:p w14:paraId="73BDE20D" w14:textId="69520F77" w:rsidR="000A03C9" w:rsidRPr="000A03C9" w:rsidRDefault="000A03C9" w:rsidP="000A03C9">
      <w:pPr>
        <w:rPr>
          <w:b/>
          <w:bCs/>
          <w:kern w:val="0"/>
          <w14:ligatures w14:val="none"/>
        </w:rPr>
      </w:pPr>
      <w:r w:rsidRPr="000A03C9">
        <w:rPr>
          <w:b/>
          <w:bCs/>
          <w:kern w:val="0"/>
          <w14:ligatures w14:val="none"/>
        </w:rPr>
        <w:t>6.2. Parametri nadzora rada pogona/postrojenja</w:t>
      </w:r>
    </w:p>
    <w:tbl>
      <w:tblPr>
        <w:tblStyle w:val="Reetkatablice2"/>
        <w:tblW w:w="0" w:type="auto"/>
        <w:tblLook w:val="04A0" w:firstRow="1" w:lastRow="0" w:firstColumn="1" w:lastColumn="0" w:noHBand="0" w:noVBand="1"/>
      </w:tblPr>
      <w:tblGrid>
        <w:gridCol w:w="4531"/>
        <w:gridCol w:w="4531"/>
      </w:tblGrid>
      <w:tr w:rsidR="000A03C9" w:rsidRPr="000A03C9" w14:paraId="3A0BB2BC" w14:textId="77777777" w:rsidTr="0043712E">
        <w:tc>
          <w:tcPr>
            <w:tcW w:w="4531" w:type="dxa"/>
            <w:shd w:val="clear" w:color="auto" w:fill="E7E6E6" w:themeFill="background2"/>
          </w:tcPr>
          <w:p w14:paraId="5695FBC4" w14:textId="77777777" w:rsidR="000A03C9" w:rsidRPr="000A03C9" w:rsidRDefault="000A03C9" w:rsidP="000A03C9">
            <w:pPr>
              <w:rPr>
                <w:b/>
                <w:bCs/>
              </w:rPr>
            </w:pPr>
            <w:r w:rsidRPr="000A03C9">
              <w:rPr>
                <w:b/>
                <w:bCs/>
              </w:rPr>
              <w:t>Medij</w:t>
            </w:r>
          </w:p>
        </w:tc>
        <w:tc>
          <w:tcPr>
            <w:tcW w:w="4531" w:type="dxa"/>
            <w:shd w:val="clear" w:color="auto" w:fill="E7E6E6" w:themeFill="background2"/>
          </w:tcPr>
          <w:p w14:paraId="52E86F89" w14:textId="77777777" w:rsidR="000A03C9" w:rsidRPr="000A03C9" w:rsidRDefault="000A03C9" w:rsidP="000A03C9">
            <w:pPr>
              <w:rPr>
                <w:b/>
                <w:bCs/>
              </w:rPr>
            </w:pPr>
            <w:r w:rsidRPr="000A03C9">
              <w:rPr>
                <w:b/>
                <w:bCs/>
              </w:rPr>
              <w:t>Parametar</w:t>
            </w:r>
          </w:p>
        </w:tc>
      </w:tr>
      <w:tr w:rsidR="000A03C9" w:rsidRPr="000A03C9" w14:paraId="77A1CD93" w14:textId="77777777" w:rsidTr="0043712E">
        <w:tc>
          <w:tcPr>
            <w:tcW w:w="4531" w:type="dxa"/>
          </w:tcPr>
          <w:p w14:paraId="6DD4B993" w14:textId="77777777" w:rsidR="000A03C9" w:rsidRPr="000A03C9" w:rsidRDefault="000A03C9" w:rsidP="000A03C9">
            <w:r w:rsidRPr="000A03C9">
              <w:t>Zrak</w:t>
            </w:r>
          </w:p>
        </w:tc>
        <w:tc>
          <w:tcPr>
            <w:tcW w:w="4531" w:type="dxa"/>
          </w:tcPr>
          <w:p w14:paraId="14E03018" w14:textId="77777777" w:rsidR="000A03C9" w:rsidRPr="000A03C9" w:rsidRDefault="000A03C9" w:rsidP="000A03C9">
            <w:pPr>
              <w:rPr>
                <w:vertAlign w:val="subscript"/>
              </w:rPr>
            </w:pPr>
            <w:r w:rsidRPr="000A03C9">
              <w:t>CO</w:t>
            </w:r>
            <w:r w:rsidRPr="000A03C9">
              <w:rPr>
                <w:vertAlign w:val="subscript"/>
              </w:rPr>
              <w:t>2,</w:t>
            </w:r>
            <w:r w:rsidRPr="000A03C9">
              <w:t xml:space="preserve">CO, </w:t>
            </w:r>
            <w:proofErr w:type="spellStart"/>
            <w:r w:rsidRPr="000A03C9">
              <w:t>NO</w:t>
            </w:r>
            <w:r w:rsidRPr="000A03C9">
              <w:rPr>
                <w:vertAlign w:val="subscript"/>
              </w:rPr>
              <w:t>x</w:t>
            </w:r>
            <w:proofErr w:type="spellEnd"/>
            <w:r w:rsidRPr="000A03C9">
              <w:rPr>
                <w:vertAlign w:val="subscript"/>
              </w:rPr>
              <w:t xml:space="preserve"> ,</w:t>
            </w:r>
            <w:proofErr w:type="spellStart"/>
            <w:r w:rsidRPr="000A03C9">
              <w:t>SO</w:t>
            </w:r>
            <w:r w:rsidRPr="000A03C9">
              <w:rPr>
                <w:vertAlign w:val="subscript"/>
              </w:rPr>
              <w:t>x</w:t>
            </w:r>
            <w:proofErr w:type="spellEnd"/>
            <w:r w:rsidRPr="000A03C9">
              <w:rPr>
                <w:vertAlign w:val="subscript"/>
              </w:rPr>
              <w:t xml:space="preserve"> </w:t>
            </w:r>
            <w:r w:rsidRPr="000A03C9">
              <w:t>i PM</w:t>
            </w:r>
            <w:r w:rsidRPr="000A03C9">
              <w:rPr>
                <w:vertAlign w:val="subscript"/>
              </w:rPr>
              <w:t>10</w:t>
            </w:r>
          </w:p>
        </w:tc>
      </w:tr>
    </w:tbl>
    <w:p w14:paraId="15587DD6" w14:textId="77777777" w:rsidR="000A03C9" w:rsidRPr="000A03C9" w:rsidRDefault="000A03C9" w:rsidP="000A03C9">
      <w:pPr>
        <w:rPr>
          <w:kern w:val="0"/>
          <w14:ligatures w14:val="none"/>
        </w:rPr>
      </w:pPr>
    </w:p>
    <w:p w14:paraId="7EE030E9" w14:textId="72D2A2ED" w:rsidR="000A03C9" w:rsidRPr="000A03C9" w:rsidRDefault="000A03C9" w:rsidP="000A03C9">
      <w:pPr>
        <w:rPr>
          <w:kern w:val="0"/>
          <w14:ligatures w14:val="none"/>
        </w:rPr>
      </w:pPr>
      <w:r w:rsidRPr="000A03C9">
        <w:rPr>
          <w:kern w:val="0"/>
          <w14:ligatures w14:val="none"/>
        </w:rPr>
        <w:t>Čvrsti otpadni materijal koji nastaje radom kotlovskih postrojenja u poduzeću:</w:t>
      </w:r>
    </w:p>
    <w:tbl>
      <w:tblPr>
        <w:tblStyle w:val="Reetkatablice2"/>
        <w:tblW w:w="0" w:type="auto"/>
        <w:tblLook w:val="04A0" w:firstRow="1" w:lastRow="0" w:firstColumn="1" w:lastColumn="0" w:noHBand="0" w:noVBand="1"/>
      </w:tblPr>
      <w:tblGrid>
        <w:gridCol w:w="1271"/>
        <w:gridCol w:w="4770"/>
        <w:gridCol w:w="3021"/>
      </w:tblGrid>
      <w:tr w:rsidR="000A03C9" w:rsidRPr="000A03C9" w14:paraId="56208F5A" w14:textId="77777777" w:rsidTr="00301167">
        <w:tc>
          <w:tcPr>
            <w:tcW w:w="1271" w:type="dxa"/>
            <w:shd w:val="clear" w:color="auto" w:fill="D5DCE4" w:themeFill="text2" w:themeFillTint="33"/>
          </w:tcPr>
          <w:p w14:paraId="79C1675B" w14:textId="77777777" w:rsidR="000A03C9" w:rsidRPr="000A03C9" w:rsidRDefault="000A03C9" w:rsidP="000A03C9">
            <w:pPr>
              <w:rPr>
                <w:b/>
                <w:bCs/>
              </w:rPr>
            </w:pPr>
            <w:r w:rsidRPr="000A03C9">
              <w:rPr>
                <w:b/>
                <w:bCs/>
              </w:rPr>
              <w:t>Klasa otpada</w:t>
            </w:r>
          </w:p>
        </w:tc>
        <w:tc>
          <w:tcPr>
            <w:tcW w:w="4770" w:type="dxa"/>
            <w:shd w:val="clear" w:color="auto" w:fill="D5DCE4" w:themeFill="text2" w:themeFillTint="33"/>
          </w:tcPr>
          <w:p w14:paraId="0BA7130F" w14:textId="77777777" w:rsidR="000A03C9" w:rsidRPr="000A03C9" w:rsidRDefault="000A03C9" w:rsidP="000A03C9">
            <w:pPr>
              <w:rPr>
                <w:b/>
                <w:bCs/>
              </w:rPr>
            </w:pPr>
            <w:r w:rsidRPr="000A03C9">
              <w:rPr>
                <w:b/>
                <w:bCs/>
              </w:rPr>
              <w:t>Vrsta otpada</w:t>
            </w:r>
          </w:p>
        </w:tc>
        <w:tc>
          <w:tcPr>
            <w:tcW w:w="3021" w:type="dxa"/>
            <w:shd w:val="clear" w:color="auto" w:fill="D5DCE4" w:themeFill="text2" w:themeFillTint="33"/>
          </w:tcPr>
          <w:p w14:paraId="2392E9D0" w14:textId="77777777" w:rsidR="000A03C9" w:rsidRPr="000A03C9" w:rsidRDefault="000A03C9" w:rsidP="000A03C9">
            <w:pPr>
              <w:rPr>
                <w:b/>
                <w:bCs/>
              </w:rPr>
            </w:pPr>
            <w:r w:rsidRPr="000A03C9">
              <w:rPr>
                <w:b/>
                <w:bCs/>
              </w:rPr>
              <w:t>Način zbrinjavanja</w:t>
            </w:r>
          </w:p>
        </w:tc>
      </w:tr>
      <w:tr w:rsidR="000A03C9" w:rsidRPr="000A03C9" w14:paraId="37D61037" w14:textId="77777777" w:rsidTr="0043712E">
        <w:tc>
          <w:tcPr>
            <w:tcW w:w="9062" w:type="dxa"/>
            <w:gridSpan w:val="3"/>
            <w:shd w:val="clear" w:color="auto" w:fill="D5DCE4" w:themeFill="text2" w:themeFillTint="33"/>
          </w:tcPr>
          <w:p w14:paraId="3A2851C7" w14:textId="77777777" w:rsidR="000A03C9" w:rsidRPr="000A03C9" w:rsidRDefault="000A03C9" w:rsidP="000A03C9">
            <w:pPr>
              <w:jc w:val="center"/>
            </w:pPr>
            <w:r w:rsidRPr="000A03C9">
              <w:t>10 OTPAD IZ TERMIČKIH PROCESA</w:t>
            </w:r>
          </w:p>
        </w:tc>
      </w:tr>
      <w:tr w:rsidR="000A03C9" w:rsidRPr="000A03C9" w14:paraId="651F2994" w14:textId="77777777" w:rsidTr="0043712E">
        <w:tc>
          <w:tcPr>
            <w:tcW w:w="9062" w:type="dxa"/>
            <w:gridSpan w:val="3"/>
            <w:shd w:val="clear" w:color="auto" w:fill="E2EFD9" w:themeFill="accent6" w:themeFillTint="33"/>
          </w:tcPr>
          <w:p w14:paraId="2A38EE6A" w14:textId="77777777" w:rsidR="000A03C9" w:rsidRPr="000A03C9" w:rsidRDefault="000A03C9" w:rsidP="000A03C9">
            <w:pPr>
              <w:jc w:val="center"/>
            </w:pPr>
            <w:r w:rsidRPr="000A03C9">
              <w:t>10 01 otpad iz termoelektrana i ostalih uređaja za spaljivanje (osim 19)</w:t>
            </w:r>
          </w:p>
        </w:tc>
      </w:tr>
      <w:tr w:rsidR="000A03C9" w:rsidRPr="000A03C9" w14:paraId="042BCA31" w14:textId="77777777" w:rsidTr="0043712E">
        <w:tc>
          <w:tcPr>
            <w:tcW w:w="1271" w:type="dxa"/>
          </w:tcPr>
          <w:p w14:paraId="778B0122" w14:textId="77777777" w:rsidR="000A03C9" w:rsidRPr="000A03C9" w:rsidRDefault="000A03C9" w:rsidP="000A03C9">
            <w:r w:rsidRPr="000A03C9">
              <w:t>10 01 15</w:t>
            </w:r>
          </w:p>
        </w:tc>
        <w:tc>
          <w:tcPr>
            <w:tcW w:w="4770" w:type="dxa"/>
          </w:tcPr>
          <w:p w14:paraId="2AB7648C" w14:textId="77777777" w:rsidR="000A03C9" w:rsidRPr="000A03C9" w:rsidRDefault="000A03C9" w:rsidP="000A03C9">
            <w:r w:rsidRPr="000A03C9">
              <w:t xml:space="preserve">Šljaka sa rešetki ložišta, šljaka i prašina iz kotlova od </w:t>
            </w:r>
            <w:proofErr w:type="spellStart"/>
            <w:r w:rsidRPr="000A03C9">
              <w:t>suspaljivanja</w:t>
            </w:r>
            <w:proofErr w:type="spellEnd"/>
            <w:r w:rsidRPr="000A03C9">
              <w:t xml:space="preserve"> koji nisu navedeni pod 10 01 14</w:t>
            </w:r>
          </w:p>
        </w:tc>
        <w:tc>
          <w:tcPr>
            <w:tcW w:w="3021" w:type="dxa"/>
          </w:tcPr>
          <w:p w14:paraId="5899179D" w14:textId="2DB058DC" w:rsidR="000A03C9" w:rsidRPr="000A03C9" w:rsidRDefault="000D4ECA" w:rsidP="000A03C9">
            <w:r>
              <w:t>Odlaganje na lokaciji deponije šljake  i pepela do preuzimanja od strane firme „</w:t>
            </w:r>
            <w:proofErr w:type="spellStart"/>
            <w:r>
              <w:t>Zlatić“d.o.o</w:t>
            </w:r>
            <w:proofErr w:type="spellEnd"/>
            <w:r>
              <w:t>. Travnik</w:t>
            </w:r>
          </w:p>
        </w:tc>
      </w:tr>
      <w:tr w:rsidR="000D4ECA" w:rsidRPr="000A03C9" w14:paraId="7E91209C" w14:textId="77777777" w:rsidTr="0043712E">
        <w:tc>
          <w:tcPr>
            <w:tcW w:w="1271" w:type="dxa"/>
          </w:tcPr>
          <w:p w14:paraId="42C71CA8" w14:textId="77777777" w:rsidR="000D4ECA" w:rsidRDefault="000D4ECA" w:rsidP="000A03C9"/>
          <w:p w14:paraId="3FE48140" w14:textId="77777777" w:rsidR="000D4ECA" w:rsidRDefault="000D4ECA" w:rsidP="000A03C9">
            <w:r>
              <w:t>10 01 22*</w:t>
            </w:r>
          </w:p>
          <w:p w14:paraId="7D5050F2" w14:textId="7E61910D" w:rsidR="000D4ECA" w:rsidRPr="000A03C9" w:rsidRDefault="000D4ECA" w:rsidP="000A03C9">
            <w:r>
              <w:t>10 01 23</w:t>
            </w:r>
          </w:p>
        </w:tc>
        <w:tc>
          <w:tcPr>
            <w:tcW w:w="4770" w:type="dxa"/>
          </w:tcPr>
          <w:p w14:paraId="0D3E5804" w14:textId="019982BE" w:rsidR="000D4ECA" w:rsidRPr="000A03C9" w:rsidRDefault="000D4ECA" w:rsidP="000A03C9">
            <w:r>
              <w:t>Kotlovnica- vodeni muljevi od čišćenja kotla</w:t>
            </w:r>
          </w:p>
        </w:tc>
        <w:tc>
          <w:tcPr>
            <w:tcW w:w="3021" w:type="dxa"/>
          </w:tcPr>
          <w:p w14:paraId="2BC34DEC" w14:textId="3671E278" w:rsidR="000D4ECA" w:rsidRDefault="000D4ECA" w:rsidP="000A03C9">
            <w:r>
              <w:t xml:space="preserve">Preuzima kompanija „Delta </w:t>
            </w:r>
            <w:proofErr w:type="spellStart"/>
            <w:r>
              <w:t>petrol</w:t>
            </w:r>
            <w:proofErr w:type="spellEnd"/>
            <w:r>
              <w:t xml:space="preserve">“ </w:t>
            </w:r>
            <w:proofErr w:type="spellStart"/>
            <w:r>
              <w:t>Kakanj</w:t>
            </w:r>
            <w:proofErr w:type="spellEnd"/>
          </w:p>
        </w:tc>
      </w:tr>
    </w:tbl>
    <w:p w14:paraId="1A64293A" w14:textId="77777777" w:rsidR="000C4CAD" w:rsidRDefault="000C4CAD" w:rsidP="000A03C9">
      <w:pPr>
        <w:rPr>
          <w:kern w:val="0"/>
          <w14:ligatures w14:val="none"/>
        </w:rPr>
      </w:pPr>
    </w:p>
    <w:p w14:paraId="7B53B6D6" w14:textId="77777777" w:rsidR="00531BD4" w:rsidRDefault="00531BD4" w:rsidP="000A03C9">
      <w:pPr>
        <w:rPr>
          <w:kern w:val="0"/>
          <w14:ligatures w14:val="none"/>
        </w:rPr>
      </w:pPr>
    </w:p>
    <w:p w14:paraId="1667D1A9" w14:textId="77777777" w:rsidR="00531BD4" w:rsidRDefault="00531BD4" w:rsidP="000A03C9">
      <w:pPr>
        <w:rPr>
          <w:kern w:val="0"/>
          <w14:ligatures w14:val="none"/>
        </w:rPr>
      </w:pPr>
    </w:p>
    <w:p w14:paraId="4D16711E" w14:textId="77777777" w:rsidR="00531BD4" w:rsidRDefault="00531BD4" w:rsidP="000A03C9">
      <w:pPr>
        <w:rPr>
          <w:kern w:val="0"/>
          <w14:ligatures w14:val="none"/>
        </w:rPr>
      </w:pPr>
    </w:p>
    <w:p w14:paraId="6A7DB63C" w14:textId="77777777" w:rsidR="00531BD4" w:rsidRPr="000A03C9" w:rsidRDefault="00531BD4" w:rsidP="000A03C9">
      <w:pPr>
        <w:rPr>
          <w:kern w:val="0"/>
          <w14:ligatures w14:val="none"/>
        </w:rPr>
      </w:pPr>
    </w:p>
    <w:p w14:paraId="3C3659F3" w14:textId="77777777" w:rsidR="000A03C9" w:rsidRPr="000A03C9" w:rsidRDefault="000A03C9" w:rsidP="000A03C9">
      <w:pPr>
        <w:rPr>
          <w:b/>
          <w:bCs/>
          <w:kern w:val="0"/>
          <w14:ligatures w14:val="none"/>
        </w:rPr>
      </w:pPr>
      <w:r w:rsidRPr="000A03C9">
        <w:rPr>
          <w:b/>
          <w:bCs/>
          <w:kern w:val="0"/>
          <w14:ligatures w14:val="none"/>
        </w:rPr>
        <w:lastRenderedPageBreak/>
        <w:t>7. Sistem izvještavanja</w:t>
      </w:r>
    </w:p>
    <w:p w14:paraId="0C2594F6" w14:textId="614DBC7F" w:rsidR="000A03C9" w:rsidRPr="000A03C9" w:rsidRDefault="000A03C9" w:rsidP="000A03C9">
      <w:pPr>
        <w:rPr>
          <w:b/>
          <w:bCs/>
          <w:kern w:val="0"/>
          <w14:ligatures w14:val="none"/>
        </w:rPr>
      </w:pPr>
      <w:r w:rsidRPr="000A03C9">
        <w:rPr>
          <w:b/>
          <w:bCs/>
          <w:kern w:val="0"/>
          <w14:ligatures w14:val="none"/>
        </w:rPr>
        <w:t>7.1. Izvještavanje o izvršenom monitoringu</w:t>
      </w:r>
    </w:p>
    <w:p w14:paraId="18D045C9" w14:textId="793023D0" w:rsidR="000A03C9" w:rsidRPr="000A03C9" w:rsidRDefault="000A03C9" w:rsidP="000A03C9">
      <w:pPr>
        <w:rPr>
          <w:kern w:val="0"/>
          <w14:ligatures w14:val="none"/>
        </w:rPr>
      </w:pPr>
      <w:r w:rsidRPr="000A03C9">
        <w:rPr>
          <w:kern w:val="0"/>
          <w14:ligatures w14:val="none"/>
        </w:rPr>
        <w:t>Tabela</w:t>
      </w:r>
      <w:r w:rsidR="00FC2ABF">
        <w:rPr>
          <w:kern w:val="0"/>
          <w14:ligatures w14:val="none"/>
        </w:rPr>
        <w:t>:</w:t>
      </w:r>
      <w:r w:rsidRPr="000A03C9">
        <w:rPr>
          <w:kern w:val="0"/>
          <w14:ligatures w14:val="none"/>
        </w:rPr>
        <w:t xml:space="preserve"> Način, dinamika, rokovi i institucije kojima se dostavlja izvještaj.</w:t>
      </w:r>
    </w:p>
    <w:tbl>
      <w:tblPr>
        <w:tblStyle w:val="Reetkatablice2"/>
        <w:tblW w:w="0" w:type="auto"/>
        <w:tblLook w:val="04A0" w:firstRow="1" w:lastRow="0" w:firstColumn="1" w:lastColumn="0" w:noHBand="0" w:noVBand="1"/>
      </w:tblPr>
      <w:tblGrid>
        <w:gridCol w:w="3020"/>
        <w:gridCol w:w="3496"/>
        <w:gridCol w:w="2546"/>
      </w:tblGrid>
      <w:tr w:rsidR="000A03C9" w:rsidRPr="000A03C9" w14:paraId="474361E0" w14:textId="77777777" w:rsidTr="00FC2ABF">
        <w:trPr>
          <w:trHeight w:val="723"/>
        </w:trPr>
        <w:tc>
          <w:tcPr>
            <w:tcW w:w="3020" w:type="dxa"/>
            <w:shd w:val="clear" w:color="auto" w:fill="F2F2F2" w:themeFill="background1" w:themeFillShade="F2"/>
          </w:tcPr>
          <w:p w14:paraId="0911EE24" w14:textId="77777777" w:rsidR="000A03C9" w:rsidRPr="000A03C9" w:rsidRDefault="000A03C9" w:rsidP="000A03C9">
            <w:pPr>
              <w:rPr>
                <w:b/>
                <w:bCs/>
              </w:rPr>
            </w:pPr>
            <w:r w:rsidRPr="000A03C9">
              <w:rPr>
                <w:b/>
                <w:bCs/>
              </w:rPr>
              <w:t>Naziv izvještaja</w:t>
            </w:r>
          </w:p>
        </w:tc>
        <w:tc>
          <w:tcPr>
            <w:tcW w:w="3496" w:type="dxa"/>
            <w:shd w:val="clear" w:color="auto" w:fill="F2F2F2" w:themeFill="background1" w:themeFillShade="F2"/>
          </w:tcPr>
          <w:p w14:paraId="0FE97E73" w14:textId="77777777" w:rsidR="000A03C9" w:rsidRPr="000A03C9" w:rsidRDefault="000A03C9" w:rsidP="000A03C9">
            <w:pPr>
              <w:rPr>
                <w:b/>
                <w:bCs/>
              </w:rPr>
            </w:pPr>
            <w:r w:rsidRPr="000A03C9">
              <w:rPr>
                <w:b/>
                <w:bCs/>
              </w:rPr>
              <w:t>Dinamika – Rokovi za dostavljanje izvještaja</w:t>
            </w:r>
          </w:p>
        </w:tc>
        <w:tc>
          <w:tcPr>
            <w:tcW w:w="2546" w:type="dxa"/>
            <w:shd w:val="clear" w:color="auto" w:fill="F2F2F2" w:themeFill="background1" w:themeFillShade="F2"/>
          </w:tcPr>
          <w:p w14:paraId="0BA4AB11" w14:textId="77777777" w:rsidR="000A03C9" w:rsidRPr="000A03C9" w:rsidRDefault="000A03C9" w:rsidP="000A03C9">
            <w:pPr>
              <w:rPr>
                <w:b/>
                <w:bCs/>
              </w:rPr>
            </w:pPr>
            <w:r w:rsidRPr="000A03C9">
              <w:rPr>
                <w:b/>
                <w:bCs/>
              </w:rPr>
              <w:t>Kome se dostavlja izvještaj</w:t>
            </w:r>
          </w:p>
        </w:tc>
      </w:tr>
      <w:tr w:rsidR="000A03C9" w:rsidRPr="000A03C9" w14:paraId="5690A420" w14:textId="77777777" w:rsidTr="000C4CAD">
        <w:tc>
          <w:tcPr>
            <w:tcW w:w="3020" w:type="dxa"/>
          </w:tcPr>
          <w:p w14:paraId="7F0E98C6" w14:textId="4C23C4FC" w:rsidR="000A03C9" w:rsidRPr="000A03C9" w:rsidRDefault="000A03C9" w:rsidP="000A03C9">
            <w:pPr>
              <w:jc w:val="both"/>
            </w:pPr>
            <w:r w:rsidRPr="000A03C9">
              <w:t>Izvještaj o izvršenim mjerenjima emisije zagađujućih materija u zrak i izvještaj o godišnjim količinama emisija zagađuju</w:t>
            </w:r>
            <w:r w:rsidR="000C4CAD">
              <w:t>ć</w:t>
            </w:r>
            <w:r w:rsidRPr="000A03C9">
              <w:t>ih materija</w:t>
            </w:r>
          </w:p>
        </w:tc>
        <w:tc>
          <w:tcPr>
            <w:tcW w:w="3496" w:type="dxa"/>
          </w:tcPr>
          <w:p w14:paraId="6E07F24A" w14:textId="77777777" w:rsidR="000A03C9" w:rsidRPr="000A03C9" w:rsidRDefault="000A03C9" w:rsidP="000A03C9">
            <w:pPr>
              <w:jc w:val="both"/>
            </w:pPr>
            <w:r w:rsidRPr="000A03C9">
              <w:t>Operator izvještava nadležni organ u skladu sa Pravilnikom o monitoringu emisija zagađujućih materija u zrak („Službene novine Federacije BiH“, broj: 9/14, 97/17) Pravilnikom o graničnim vrijednostima emisija u zrak iz postrojenja za sagorijevanje („Službene novine Federacije BiH“, broj: 3/13, 92/17)</w:t>
            </w:r>
          </w:p>
          <w:p w14:paraId="41E70595" w14:textId="1348C3E7" w:rsidR="000A03C9" w:rsidRPr="000A03C9" w:rsidRDefault="000A03C9" w:rsidP="000A03C9">
            <w:pPr>
              <w:jc w:val="both"/>
            </w:pPr>
            <w:r w:rsidRPr="000A03C9">
              <w:t>Pravilniku o registru zagađivača i zagađenjima u okolišu („Službene novine Federacije BiH“, broj: 11/23)</w:t>
            </w:r>
          </w:p>
        </w:tc>
        <w:tc>
          <w:tcPr>
            <w:tcW w:w="2546" w:type="dxa"/>
          </w:tcPr>
          <w:p w14:paraId="56CDF2FA" w14:textId="77777777" w:rsidR="000A03C9" w:rsidRPr="000A03C9" w:rsidRDefault="000A03C9" w:rsidP="000A03C9"/>
          <w:p w14:paraId="35EF5675" w14:textId="77777777" w:rsidR="000A03C9" w:rsidRPr="000A03C9" w:rsidRDefault="000A03C9" w:rsidP="000A03C9"/>
          <w:p w14:paraId="39D4A716" w14:textId="77777777" w:rsidR="000A03C9" w:rsidRPr="000A03C9" w:rsidRDefault="000A03C9" w:rsidP="000A03C9"/>
          <w:p w14:paraId="2E1AD601" w14:textId="77777777" w:rsidR="000A03C9" w:rsidRPr="000A03C9" w:rsidRDefault="000A03C9" w:rsidP="000A03C9">
            <w:pPr>
              <w:jc w:val="center"/>
            </w:pPr>
            <w:proofErr w:type="spellStart"/>
            <w:r w:rsidRPr="000A03C9">
              <w:t>Kantonalnom</w:t>
            </w:r>
            <w:proofErr w:type="spellEnd"/>
            <w:r w:rsidRPr="000A03C9">
              <w:t xml:space="preserve"> ministarstvu prostornog uređenja, građenja, zaštite okoliša, povratka i stambenih poslova</w:t>
            </w:r>
          </w:p>
        </w:tc>
      </w:tr>
      <w:tr w:rsidR="000A03C9" w:rsidRPr="000A03C9" w14:paraId="46E1BEBE" w14:textId="77777777" w:rsidTr="000C4CAD">
        <w:tc>
          <w:tcPr>
            <w:tcW w:w="3020" w:type="dxa"/>
          </w:tcPr>
          <w:p w14:paraId="05F54F92" w14:textId="77777777" w:rsidR="000A03C9" w:rsidRPr="000A03C9" w:rsidRDefault="000A03C9" w:rsidP="000A03C9">
            <w:pPr>
              <w:jc w:val="both"/>
            </w:pPr>
            <w:r w:rsidRPr="000A03C9">
              <w:t>Izvještaj o količini nastalog otpada</w:t>
            </w:r>
          </w:p>
        </w:tc>
        <w:tc>
          <w:tcPr>
            <w:tcW w:w="3496" w:type="dxa"/>
          </w:tcPr>
          <w:p w14:paraId="2EFA55C1" w14:textId="77777777" w:rsidR="000A03C9" w:rsidRPr="000A03C9" w:rsidRDefault="000A03C9" w:rsidP="000A03C9">
            <w:pPr>
              <w:jc w:val="both"/>
            </w:pPr>
            <w:r w:rsidRPr="000A03C9">
              <w:t>Najkasnije do 31.01. za prethodnu godinu</w:t>
            </w:r>
          </w:p>
        </w:tc>
        <w:tc>
          <w:tcPr>
            <w:tcW w:w="2546" w:type="dxa"/>
          </w:tcPr>
          <w:p w14:paraId="54B88C0D" w14:textId="011F460A" w:rsidR="000A03C9" w:rsidRPr="000A03C9" w:rsidRDefault="000A03C9" w:rsidP="000A03C9">
            <w:pPr>
              <w:jc w:val="center"/>
            </w:pPr>
            <w:r w:rsidRPr="000A03C9">
              <w:t xml:space="preserve">Nadležnom </w:t>
            </w:r>
            <w:proofErr w:type="spellStart"/>
            <w:r w:rsidRPr="000A03C9">
              <w:t>kantonalnom</w:t>
            </w:r>
            <w:proofErr w:type="spellEnd"/>
            <w:r w:rsidRPr="000A03C9">
              <w:t xml:space="preserve"> ministarstvu </w:t>
            </w:r>
          </w:p>
        </w:tc>
      </w:tr>
      <w:tr w:rsidR="000A03C9" w:rsidRPr="000A03C9" w14:paraId="2F27C5C1" w14:textId="77777777" w:rsidTr="000C4CAD">
        <w:tc>
          <w:tcPr>
            <w:tcW w:w="3020" w:type="dxa"/>
          </w:tcPr>
          <w:p w14:paraId="5D5F47B4" w14:textId="4D229C60" w:rsidR="000A03C9" w:rsidRPr="000A03C9" w:rsidRDefault="000A03C9" w:rsidP="000A03C9">
            <w:pPr>
              <w:jc w:val="both"/>
            </w:pPr>
            <w:r w:rsidRPr="000A03C9">
              <w:t>Izvještaj o količinama produkovanog otpada i način njegovoj zbrinjavanja kao i sumarni izvještaj o svim mjerenjima za monitoring proizvodnje, nastanka otpada i emisija. Evidenciju o otpadu vodi odgovorno lice za upravljanje otpadom, koje imenuje direktor privrednog društva. Kod realizacije monitoringa, potrebno je uvažiti e</w:t>
            </w:r>
            <w:r w:rsidR="000C4CAD">
              <w:t>ve</w:t>
            </w:r>
            <w:r w:rsidRPr="000A03C9">
              <w:t xml:space="preserve">ntualne pritužbe građana, nevladinih organizacija i nadležnih inspekcijskih organa u smislu utvrđivanja emisija i negativnih </w:t>
            </w:r>
            <w:proofErr w:type="spellStart"/>
            <w:r w:rsidRPr="000A03C9">
              <w:t>utjecaja</w:t>
            </w:r>
            <w:proofErr w:type="spellEnd"/>
            <w:r w:rsidRPr="000A03C9">
              <w:t xml:space="preserve"> na okolinu po standardiz</w:t>
            </w:r>
            <w:r w:rsidR="000C4CAD">
              <w:t>ir</w:t>
            </w:r>
            <w:r w:rsidRPr="000A03C9">
              <w:t xml:space="preserve">anim postupcima. Operator je dužan da ustroji i uredno vodi evidenciju o </w:t>
            </w:r>
            <w:proofErr w:type="spellStart"/>
            <w:r w:rsidRPr="000A03C9">
              <w:t>okolinskom</w:t>
            </w:r>
            <w:proofErr w:type="spellEnd"/>
            <w:r w:rsidRPr="000A03C9">
              <w:t xml:space="preserve"> i tehnološkom monitoringu.</w:t>
            </w:r>
          </w:p>
        </w:tc>
        <w:tc>
          <w:tcPr>
            <w:tcW w:w="3496" w:type="dxa"/>
          </w:tcPr>
          <w:p w14:paraId="2B4EA593" w14:textId="77777777" w:rsidR="000A03C9" w:rsidRPr="000A03C9" w:rsidRDefault="000A03C9" w:rsidP="000A03C9">
            <w:pPr>
              <w:jc w:val="both"/>
            </w:pPr>
            <w:r w:rsidRPr="000A03C9">
              <w:t>U skladu sa odredbama Zakona o upravljanju otpada, Zakona o izmjenama i dopunama zakona o upravljanju otpadom, Pravilnika o kategorijama otpada sa listama, Uredbe o selektivnom prikupljanju, pakovanju i označavanju otpada, Pravilnika o upravljanju ambalažom i ambalažnim otpadom („Službene novine Federacije BiH“, broj: 88/11 i 28/13), Pravilnika o upravljanu otpadom od električnih i elektronskih proizvoda („Službene novine Federacije BiH“, broj: 87/12) i drugim propisima o upravljanju otpadom, kao i Planu o upravljanju otpadom. Najkasnije do 31.01. za prethodnu godinu.</w:t>
            </w:r>
          </w:p>
        </w:tc>
        <w:tc>
          <w:tcPr>
            <w:tcW w:w="2546" w:type="dxa"/>
          </w:tcPr>
          <w:p w14:paraId="0332C26F" w14:textId="77777777" w:rsidR="000A03C9" w:rsidRPr="000A03C9" w:rsidRDefault="000A03C9" w:rsidP="000A03C9"/>
          <w:p w14:paraId="4D59E17C" w14:textId="77777777" w:rsidR="000A03C9" w:rsidRPr="000A03C9" w:rsidRDefault="000A03C9" w:rsidP="000A03C9"/>
          <w:p w14:paraId="0C2C1EA1" w14:textId="77777777" w:rsidR="000A03C9" w:rsidRPr="000A03C9" w:rsidRDefault="000A03C9" w:rsidP="000A03C9"/>
          <w:p w14:paraId="139FC309" w14:textId="77777777" w:rsidR="000A03C9" w:rsidRPr="000A03C9" w:rsidRDefault="000A03C9" w:rsidP="000A03C9"/>
          <w:p w14:paraId="7309DAC0" w14:textId="77777777" w:rsidR="000A03C9" w:rsidRPr="000A03C9" w:rsidRDefault="000A03C9" w:rsidP="000A03C9"/>
          <w:p w14:paraId="5C19F794" w14:textId="77777777" w:rsidR="000A03C9" w:rsidRPr="000A03C9" w:rsidRDefault="000A03C9" w:rsidP="000A03C9"/>
          <w:p w14:paraId="6B3BBE1B" w14:textId="77777777" w:rsidR="000A03C9" w:rsidRPr="000A03C9" w:rsidRDefault="000A03C9" w:rsidP="000A03C9"/>
          <w:p w14:paraId="6DF90DBD" w14:textId="77777777" w:rsidR="000A03C9" w:rsidRPr="000A03C9" w:rsidRDefault="000A03C9" w:rsidP="000A03C9"/>
          <w:p w14:paraId="0690F649" w14:textId="77777777" w:rsidR="000A03C9" w:rsidRPr="000A03C9" w:rsidRDefault="000A03C9" w:rsidP="000A03C9"/>
          <w:p w14:paraId="02451448" w14:textId="27CEA71B" w:rsidR="000A03C9" w:rsidRPr="000A03C9" w:rsidRDefault="000A03C9" w:rsidP="000A03C9">
            <w:pPr>
              <w:jc w:val="center"/>
            </w:pPr>
            <w:r w:rsidRPr="000A03C9">
              <w:t xml:space="preserve">Evidencija </w:t>
            </w:r>
            <w:proofErr w:type="spellStart"/>
            <w:r w:rsidRPr="000A03C9">
              <w:t>poduzeća</w:t>
            </w:r>
            <w:proofErr w:type="spellEnd"/>
            <w:r w:rsidRPr="000A03C9">
              <w:t xml:space="preserve"> koje vodi i čuva odgovorno lice za upravljanje otpadom</w:t>
            </w:r>
          </w:p>
        </w:tc>
      </w:tr>
    </w:tbl>
    <w:p w14:paraId="23DA4E6A" w14:textId="77777777" w:rsidR="000A03C9" w:rsidRPr="000A03C9" w:rsidRDefault="000A03C9" w:rsidP="000A03C9">
      <w:pPr>
        <w:spacing w:after="0"/>
        <w:jc w:val="both"/>
        <w:rPr>
          <w:b/>
          <w:bCs/>
          <w:kern w:val="0"/>
          <w14:ligatures w14:val="none"/>
        </w:rPr>
      </w:pPr>
    </w:p>
    <w:p w14:paraId="08FF0610" w14:textId="77777777" w:rsidR="000A03C9" w:rsidRDefault="000A03C9" w:rsidP="000A03C9">
      <w:pPr>
        <w:spacing w:after="0"/>
        <w:jc w:val="both"/>
        <w:rPr>
          <w:b/>
          <w:bCs/>
          <w:kern w:val="0"/>
          <w14:ligatures w14:val="none"/>
        </w:rPr>
      </w:pPr>
    </w:p>
    <w:p w14:paraId="42AAB755" w14:textId="77777777" w:rsidR="000D4ECA" w:rsidRPr="000A03C9" w:rsidRDefault="000D4ECA" w:rsidP="000A03C9">
      <w:pPr>
        <w:spacing w:after="0"/>
        <w:jc w:val="both"/>
        <w:rPr>
          <w:b/>
          <w:bCs/>
          <w:kern w:val="0"/>
          <w14:ligatures w14:val="none"/>
        </w:rPr>
      </w:pPr>
    </w:p>
    <w:p w14:paraId="33FF1AB8" w14:textId="77777777" w:rsidR="00BD16FA" w:rsidRDefault="00BD16FA" w:rsidP="00D155AE">
      <w:pPr>
        <w:tabs>
          <w:tab w:val="left" w:pos="1950"/>
        </w:tabs>
        <w:spacing w:after="0"/>
        <w:jc w:val="both"/>
      </w:pPr>
    </w:p>
    <w:p w14:paraId="6A548EBE" w14:textId="77777777" w:rsidR="00531BD4" w:rsidRDefault="00531BD4" w:rsidP="000C4CAD">
      <w:pPr>
        <w:spacing w:after="0"/>
        <w:jc w:val="both"/>
        <w:rPr>
          <w:b/>
          <w:bCs/>
          <w:kern w:val="0"/>
          <w14:ligatures w14:val="none"/>
        </w:rPr>
      </w:pPr>
    </w:p>
    <w:p w14:paraId="77932C93" w14:textId="77777777" w:rsidR="00531BD4" w:rsidRDefault="00531BD4" w:rsidP="000C4CAD">
      <w:pPr>
        <w:spacing w:after="0"/>
        <w:jc w:val="both"/>
        <w:rPr>
          <w:b/>
          <w:bCs/>
          <w:kern w:val="0"/>
          <w14:ligatures w14:val="none"/>
        </w:rPr>
      </w:pPr>
    </w:p>
    <w:p w14:paraId="74A76A4B" w14:textId="48F4EF75" w:rsidR="000C4CAD" w:rsidRPr="000C4CAD" w:rsidRDefault="000C4CAD" w:rsidP="000C4CAD">
      <w:pPr>
        <w:spacing w:after="0"/>
        <w:jc w:val="both"/>
        <w:rPr>
          <w:b/>
          <w:bCs/>
          <w:kern w:val="0"/>
          <w14:ligatures w14:val="none"/>
        </w:rPr>
      </w:pPr>
      <w:r w:rsidRPr="000C4CAD">
        <w:rPr>
          <w:b/>
          <w:bCs/>
          <w:kern w:val="0"/>
          <w14:ligatures w14:val="none"/>
        </w:rPr>
        <w:lastRenderedPageBreak/>
        <w:t>7.2. Izvještavanje za registar o postrojenjima i zagađivanjima</w:t>
      </w:r>
    </w:p>
    <w:p w14:paraId="55A5C30B" w14:textId="77777777" w:rsidR="000C4CAD" w:rsidRPr="000C4CAD" w:rsidRDefault="000C4CAD" w:rsidP="000C4CAD">
      <w:pPr>
        <w:spacing w:after="0"/>
        <w:jc w:val="both"/>
        <w:rPr>
          <w:b/>
          <w:bCs/>
          <w:kern w:val="0"/>
          <w14:ligatures w14:val="none"/>
        </w:rPr>
      </w:pPr>
    </w:p>
    <w:p w14:paraId="53386A51" w14:textId="77777777" w:rsidR="000C4CAD" w:rsidRPr="000C4CAD" w:rsidRDefault="000C4CAD" w:rsidP="000C4CAD">
      <w:pPr>
        <w:spacing w:after="0"/>
        <w:jc w:val="both"/>
        <w:rPr>
          <w:kern w:val="0"/>
          <w14:ligatures w14:val="none"/>
        </w:rPr>
      </w:pPr>
      <w:r w:rsidRPr="000C4CAD">
        <w:rPr>
          <w:kern w:val="0"/>
          <w14:ligatures w14:val="none"/>
        </w:rPr>
        <w:t>Investitor mora izvještavati nadležno kantonalno ministarstvo o godišnjim emisijama zagađivanja na način kako je to propisano podzakonskim aktom iz članka 34. Zakona i članka 9. Uredbe kojom se utvrđuju pogoni i postrojenja koja moraju imati okolišnu dozvolu („Službene novine Federacije BiH“, broj: 51/21, 74/22). Odredbama Pravilnika o registrima zagađivača i zagađivanjima („</w:t>
      </w:r>
      <w:bookmarkStart w:id="0" w:name="_Hlk147228071"/>
      <w:r w:rsidRPr="000C4CAD">
        <w:rPr>
          <w:kern w:val="0"/>
          <w14:ligatures w14:val="none"/>
        </w:rPr>
        <w:t xml:space="preserve">Službene novine Federacije BiH“, broj: </w:t>
      </w:r>
      <w:bookmarkEnd w:id="0"/>
      <w:r w:rsidRPr="000C4CAD">
        <w:rPr>
          <w:kern w:val="0"/>
          <w14:ligatures w14:val="none"/>
        </w:rPr>
        <w:t xml:space="preserve">11/23) investitor će podatke unositi u elektronske obrasce postavljenje na web stranici http:/www.prtr.fmoit.gov.ba. Izvještaji moraju biti poslani u rokovima. </w:t>
      </w:r>
    </w:p>
    <w:p w14:paraId="36537FCA" w14:textId="51804544" w:rsidR="000C4CAD" w:rsidRPr="000C4CAD" w:rsidRDefault="000C4CAD" w:rsidP="000C4CAD">
      <w:pPr>
        <w:spacing w:after="0"/>
        <w:jc w:val="both"/>
        <w:rPr>
          <w:kern w:val="0"/>
          <w14:ligatures w14:val="none"/>
        </w:rPr>
      </w:pPr>
      <w:r w:rsidRPr="000C4CAD">
        <w:rPr>
          <w:kern w:val="0"/>
          <w14:ligatures w14:val="none"/>
        </w:rPr>
        <w:t>Operator je dužan bez odlaganja prijaviti svaku vanrednu situaciju koja značajno ut</w:t>
      </w:r>
      <w:r>
        <w:rPr>
          <w:kern w:val="0"/>
          <w14:ligatures w14:val="none"/>
        </w:rPr>
        <w:t>je</w:t>
      </w:r>
      <w:r w:rsidRPr="000C4CAD">
        <w:rPr>
          <w:kern w:val="0"/>
          <w14:ligatures w14:val="none"/>
        </w:rPr>
        <w:t>če na okoliš.</w:t>
      </w:r>
    </w:p>
    <w:p w14:paraId="3C5A4478" w14:textId="77777777" w:rsidR="000C4CAD" w:rsidRPr="000C4CAD" w:rsidRDefault="000C4CAD" w:rsidP="000C4CAD">
      <w:pPr>
        <w:spacing w:after="0"/>
        <w:jc w:val="both"/>
        <w:rPr>
          <w:kern w:val="0"/>
          <w14:ligatures w14:val="none"/>
        </w:rPr>
      </w:pPr>
    </w:p>
    <w:p w14:paraId="6E01927F" w14:textId="77777777" w:rsidR="000C4CAD" w:rsidRPr="000C4CAD" w:rsidRDefault="000C4CAD" w:rsidP="000C4CAD">
      <w:pPr>
        <w:spacing w:after="0"/>
        <w:jc w:val="both"/>
        <w:rPr>
          <w:b/>
          <w:bCs/>
          <w:kern w:val="0"/>
          <w14:ligatures w14:val="none"/>
        </w:rPr>
      </w:pPr>
      <w:r w:rsidRPr="000C4CAD">
        <w:rPr>
          <w:b/>
          <w:bCs/>
          <w:kern w:val="0"/>
          <w14:ligatures w14:val="none"/>
        </w:rPr>
        <w:t>8. Period važenja dozvole</w:t>
      </w:r>
    </w:p>
    <w:p w14:paraId="4D5E0959" w14:textId="77777777" w:rsidR="000C4CAD" w:rsidRPr="000C4CAD" w:rsidRDefault="000C4CAD" w:rsidP="000C4CAD">
      <w:pPr>
        <w:spacing w:after="0"/>
        <w:jc w:val="both"/>
        <w:rPr>
          <w:kern w:val="0"/>
          <w14:ligatures w14:val="none"/>
        </w:rPr>
      </w:pPr>
    </w:p>
    <w:p w14:paraId="2B9974DF" w14:textId="77777777" w:rsidR="000C4CAD" w:rsidRDefault="000C4CAD" w:rsidP="000C4CAD">
      <w:pPr>
        <w:spacing w:after="0"/>
        <w:jc w:val="both"/>
        <w:rPr>
          <w:kern w:val="0"/>
          <w14:ligatures w14:val="none"/>
        </w:rPr>
      </w:pPr>
      <w:r w:rsidRPr="000C4CAD">
        <w:rPr>
          <w:kern w:val="0"/>
          <w14:ligatures w14:val="none"/>
        </w:rPr>
        <w:t>Okolišna dozvola se izdaje na period od 5 (pet) godina.</w:t>
      </w:r>
    </w:p>
    <w:p w14:paraId="084A84B1" w14:textId="77777777" w:rsidR="000C4CAD" w:rsidRPr="000C4CAD" w:rsidRDefault="000C4CAD" w:rsidP="000C4CAD">
      <w:pPr>
        <w:spacing w:after="0"/>
        <w:jc w:val="both"/>
        <w:rPr>
          <w:kern w:val="0"/>
          <w14:ligatures w14:val="none"/>
        </w:rPr>
      </w:pPr>
    </w:p>
    <w:p w14:paraId="0A25766D" w14:textId="511D26D4" w:rsidR="00B21E91" w:rsidRDefault="00B21E91" w:rsidP="00B21E91">
      <w:pPr>
        <w:tabs>
          <w:tab w:val="left" w:pos="1950"/>
        </w:tabs>
        <w:spacing w:after="0"/>
        <w:jc w:val="center"/>
        <w:rPr>
          <w:b/>
          <w:bCs/>
        </w:rPr>
      </w:pPr>
      <w:r w:rsidRPr="00B21E91">
        <w:rPr>
          <w:b/>
          <w:bCs/>
        </w:rPr>
        <w:t>O</w:t>
      </w:r>
      <w:r w:rsidR="008E6564">
        <w:rPr>
          <w:b/>
          <w:bCs/>
        </w:rPr>
        <w:t xml:space="preserve"> </w:t>
      </w:r>
      <w:r w:rsidRPr="00B21E91">
        <w:rPr>
          <w:b/>
          <w:bCs/>
        </w:rPr>
        <w:t>B</w:t>
      </w:r>
      <w:r w:rsidR="008E6564">
        <w:rPr>
          <w:b/>
          <w:bCs/>
        </w:rPr>
        <w:t xml:space="preserve"> </w:t>
      </w:r>
      <w:r w:rsidRPr="00B21E91">
        <w:rPr>
          <w:b/>
          <w:bCs/>
        </w:rPr>
        <w:t>R</w:t>
      </w:r>
      <w:r w:rsidR="008E6564">
        <w:rPr>
          <w:b/>
          <w:bCs/>
        </w:rPr>
        <w:t xml:space="preserve"> </w:t>
      </w:r>
      <w:r w:rsidRPr="00B21E91">
        <w:rPr>
          <w:b/>
          <w:bCs/>
        </w:rPr>
        <w:t>A</w:t>
      </w:r>
      <w:r w:rsidR="008E6564">
        <w:rPr>
          <w:b/>
          <w:bCs/>
        </w:rPr>
        <w:t xml:space="preserve"> </w:t>
      </w:r>
      <w:r w:rsidRPr="00B21E91">
        <w:rPr>
          <w:b/>
          <w:bCs/>
        </w:rPr>
        <w:t>Z</w:t>
      </w:r>
      <w:r w:rsidR="008E6564">
        <w:rPr>
          <w:b/>
          <w:bCs/>
        </w:rPr>
        <w:t xml:space="preserve"> </w:t>
      </w:r>
      <w:r w:rsidRPr="00B21E91">
        <w:rPr>
          <w:b/>
          <w:bCs/>
        </w:rPr>
        <w:t>L</w:t>
      </w:r>
      <w:r w:rsidR="008E6564">
        <w:rPr>
          <w:b/>
          <w:bCs/>
        </w:rPr>
        <w:t xml:space="preserve"> </w:t>
      </w:r>
      <w:r w:rsidRPr="00B21E91">
        <w:rPr>
          <w:b/>
          <w:bCs/>
        </w:rPr>
        <w:t>O</w:t>
      </w:r>
      <w:r w:rsidR="008E6564">
        <w:rPr>
          <w:b/>
          <w:bCs/>
        </w:rPr>
        <w:t xml:space="preserve"> </w:t>
      </w:r>
      <w:r w:rsidRPr="00B21E91">
        <w:rPr>
          <w:b/>
          <w:bCs/>
        </w:rPr>
        <w:t>Ž</w:t>
      </w:r>
      <w:r w:rsidR="008E6564">
        <w:rPr>
          <w:b/>
          <w:bCs/>
        </w:rPr>
        <w:t xml:space="preserve"> </w:t>
      </w:r>
      <w:r w:rsidRPr="00B21E91">
        <w:rPr>
          <w:b/>
          <w:bCs/>
        </w:rPr>
        <w:t>E</w:t>
      </w:r>
      <w:r w:rsidR="008E6564">
        <w:rPr>
          <w:b/>
          <w:bCs/>
        </w:rPr>
        <w:t xml:space="preserve"> </w:t>
      </w:r>
      <w:r w:rsidRPr="00B21E91">
        <w:rPr>
          <w:b/>
          <w:bCs/>
        </w:rPr>
        <w:t>NJ</w:t>
      </w:r>
      <w:r w:rsidR="008E6564">
        <w:rPr>
          <w:b/>
          <w:bCs/>
        </w:rPr>
        <w:t xml:space="preserve"> </w:t>
      </w:r>
      <w:r w:rsidRPr="00B21E91">
        <w:rPr>
          <w:b/>
          <w:bCs/>
        </w:rPr>
        <w:t>E</w:t>
      </w:r>
    </w:p>
    <w:p w14:paraId="29430411" w14:textId="77777777" w:rsidR="00682FCB" w:rsidRDefault="00682FCB" w:rsidP="00B21E91">
      <w:pPr>
        <w:tabs>
          <w:tab w:val="left" w:pos="1950"/>
        </w:tabs>
        <w:spacing w:after="0"/>
        <w:jc w:val="center"/>
        <w:rPr>
          <w:b/>
          <w:bCs/>
        </w:rPr>
      </w:pPr>
    </w:p>
    <w:p w14:paraId="5DEAAD10" w14:textId="35A4458A" w:rsidR="004C4708" w:rsidRDefault="008C14BC" w:rsidP="004C58E7">
      <w:pPr>
        <w:tabs>
          <w:tab w:val="left" w:pos="1950"/>
        </w:tabs>
        <w:spacing w:after="0"/>
        <w:ind w:left="360"/>
        <w:jc w:val="both"/>
      </w:pPr>
      <w:r>
        <w:t>Federalno ministarstvo okoliša i turizma dana 24. 7. 2023. godine proslijedilo je Zahtjev za izdavanje okolišne dozvole  investitora „Unis – Energetika“ d.o.o. Sarajevo</w:t>
      </w:r>
      <w:r w:rsidRPr="008C14BC">
        <w:t xml:space="preserve"> </w:t>
      </w:r>
      <w:r>
        <w:t xml:space="preserve">na nadležno postupanje Kantonalnom ministarstvu. </w:t>
      </w:r>
      <w:r w:rsidR="00C200C6">
        <w:t xml:space="preserve">„Unis-Energetika“ d.o.o. Sarajevo, poslovnica Novi Travnik </w:t>
      </w:r>
      <w:r w:rsidR="00994155">
        <w:t xml:space="preserve">obratio se </w:t>
      </w:r>
      <w:r w:rsidR="00BD1CD0">
        <w:t>sa zahtjevom za izdavanje</w:t>
      </w:r>
      <w:r w:rsidR="00CF62C9">
        <w:t xml:space="preserve"> </w:t>
      </w:r>
      <w:r w:rsidR="0026195D">
        <w:t>obnovljene</w:t>
      </w:r>
      <w:r w:rsidR="00BD1CD0">
        <w:t xml:space="preserve"> okolišne dozvole </w:t>
      </w:r>
      <w:r w:rsidR="00DF38DD">
        <w:t xml:space="preserve">za </w:t>
      </w:r>
      <w:r w:rsidR="0066418E">
        <w:t xml:space="preserve">postojeći kompleks pogona i postrojenja </w:t>
      </w:r>
      <w:r w:rsidR="00DB2E93">
        <w:t xml:space="preserve">za proizvodnju i distribuciju toplotne energije. </w:t>
      </w:r>
    </w:p>
    <w:p w14:paraId="7A1293A0" w14:textId="652F2207" w:rsidR="005F3287" w:rsidRDefault="009E41C4" w:rsidP="004C58E7">
      <w:pPr>
        <w:tabs>
          <w:tab w:val="left" w:pos="1950"/>
        </w:tabs>
        <w:spacing w:after="0"/>
        <w:ind w:left="360"/>
        <w:jc w:val="both"/>
      </w:pPr>
      <w:r>
        <w:t>Zahtjev je podnesen u skladu s</w:t>
      </w:r>
      <w:r w:rsidR="00BF4F9C">
        <w:t xml:space="preserve"> članovima </w:t>
      </w:r>
      <w:r w:rsidR="0076283D">
        <w:t xml:space="preserve">86. 89. </w:t>
      </w:r>
      <w:r w:rsidR="00250BBA">
        <w:t xml:space="preserve">i </w:t>
      </w:r>
      <w:r w:rsidR="0076283D">
        <w:t>93.</w:t>
      </w:r>
      <w:r w:rsidR="00DF732E">
        <w:t xml:space="preserve"> </w:t>
      </w:r>
      <w:r w:rsidR="00FC0B11">
        <w:t>Zakon</w:t>
      </w:r>
      <w:r w:rsidR="0076283D">
        <w:t>a</w:t>
      </w:r>
      <w:r w:rsidR="00FC0B11">
        <w:t xml:space="preserve"> o zaštiti okoliš</w:t>
      </w:r>
      <w:r w:rsidR="004E4B88">
        <w:t xml:space="preserve">a </w:t>
      </w:r>
      <w:r w:rsidR="0076283D">
        <w:t xml:space="preserve">(„Sl.novine Federacije BiH, broj: </w:t>
      </w:r>
      <w:r w:rsidR="00A81567">
        <w:t xml:space="preserve">15/21) </w:t>
      </w:r>
      <w:r w:rsidR="00C57A1F">
        <w:t>te u formi koju nalaže Uredba</w:t>
      </w:r>
      <w:r w:rsidR="00053AF9">
        <w:t xml:space="preserve"> na obrascu </w:t>
      </w:r>
      <w:r w:rsidR="003A0B78">
        <w:t xml:space="preserve">za izradu zahtjeva iz Priloga </w:t>
      </w:r>
      <w:r w:rsidR="00053AF9">
        <w:t>III</w:t>
      </w:r>
      <w:r w:rsidR="003A0B78">
        <w:t xml:space="preserve"> Uredbe.</w:t>
      </w:r>
    </w:p>
    <w:p w14:paraId="08FD00BA" w14:textId="1AF8A86F" w:rsidR="009B7AE5" w:rsidRDefault="009B7AE5" w:rsidP="004C58E7">
      <w:pPr>
        <w:tabs>
          <w:tab w:val="left" w:pos="1950"/>
        </w:tabs>
        <w:spacing w:after="0"/>
        <w:ind w:left="360"/>
        <w:jc w:val="both"/>
      </w:pPr>
      <w:r>
        <w:t xml:space="preserve">Pravni osnov za izdavanje okolišne dozvole sadržan je u </w:t>
      </w:r>
      <w:r w:rsidR="0018260F">
        <w:t>Prilogu X</w:t>
      </w:r>
      <w:r w:rsidR="006C3596">
        <w:t>.</w:t>
      </w:r>
      <w:r w:rsidR="0018260F">
        <w:t xml:space="preserve"> Zakona o zaštiti okoliša </w:t>
      </w:r>
      <w:r w:rsidR="000861B5">
        <w:t xml:space="preserve">Federacije BiH </w:t>
      </w:r>
      <w:r w:rsidR="00C53A3D">
        <w:t>(„Sl.novine Federacije BiH“, broj:</w:t>
      </w:r>
      <w:r w:rsidR="008C14BC">
        <w:t xml:space="preserve"> </w:t>
      </w:r>
      <w:r w:rsidR="00C53A3D">
        <w:t xml:space="preserve">15/21) i Priloga </w:t>
      </w:r>
      <w:r w:rsidR="006471A5">
        <w:t>I</w:t>
      </w:r>
      <w:r w:rsidR="00A94245">
        <w:t>I.</w:t>
      </w:r>
      <w:r w:rsidR="006C3596">
        <w:t xml:space="preserve"> List</w:t>
      </w:r>
      <w:r w:rsidR="005870F2">
        <w:t>e</w:t>
      </w:r>
      <w:r w:rsidR="006C3596">
        <w:t xml:space="preserve"> pogona i postrojenja za koje kantonalno ministarstvo </w:t>
      </w:r>
      <w:r w:rsidR="0069282C">
        <w:t>izdaje</w:t>
      </w:r>
      <w:r w:rsidR="002D00C7">
        <w:t xml:space="preserve"> okolišnu</w:t>
      </w:r>
      <w:r w:rsidR="0069282C">
        <w:t xml:space="preserve"> dozvolu</w:t>
      </w:r>
      <w:r w:rsidR="00186ADD">
        <w:t xml:space="preserve"> Uredbe kojom se utvrđuju pogoni i postrojenja koja moraju imati okolišnu</w:t>
      </w:r>
      <w:r w:rsidR="00A94245">
        <w:t xml:space="preserve"> dozvolu</w:t>
      </w:r>
      <w:r w:rsidR="002F3F42">
        <w:t xml:space="preserve"> </w:t>
      </w:r>
      <w:r w:rsidR="00A94245">
        <w:t>(</w:t>
      </w:r>
      <w:r w:rsidR="00140CCE">
        <w:t xml:space="preserve">„Sl.novine </w:t>
      </w:r>
      <w:r w:rsidR="00DE5D7D">
        <w:t>Federacije BiH“, broj: 51/21, 74/22)</w:t>
      </w:r>
      <w:r w:rsidR="002670E6">
        <w:t xml:space="preserve">, na osnovu kojih je utvrđeno da investitor </w:t>
      </w:r>
      <w:r w:rsidR="00E00334">
        <w:t xml:space="preserve">pripada postrojenjima i </w:t>
      </w:r>
      <w:r w:rsidR="00A124C2">
        <w:t xml:space="preserve">djelatnostima defininisanim pod </w:t>
      </w:r>
      <w:r w:rsidR="002346DD">
        <w:t xml:space="preserve">tačkom </w:t>
      </w:r>
      <w:r w:rsidR="001B22B5">
        <w:t>1</w:t>
      </w:r>
      <w:r w:rsidR="002346DD">
        <w:t>.</w:t>
      </w:r>
      <w:r w:rsidR="00851225">
        <w:t xml:space="preserve"> </w:t>
      </w:r>
      <w:r w:rsidR="001B22B5">
        <w:t xml:space="preserve">podtačke 1.1. </w:t>
      </w:r>
      <w:r w:rsidR="002346DD">
        <w:t xml:space="preserve"> </w:t>
      </w:r>
      <w:r w:rsidR="00860995">
        <w:t>liste.</w:t>
      </w:r>
    </w:p>
    <w:p w14:paraId="793DE444" w14:textId="7B6F1FA5" w:rsidR="009A00E4" w:rsidRDefault="00A705ED" w:rsidP="004C58E7">
      <w:pPr>
        <w:tabs>
          <w:tab w:val="left" w:pos="1950"/>
        </w:tabs>
        <w:spacing w:after="0"/>
        <w:ind w:left="360"/>
        <w:jc w:val="both"/>
      </w:pPr>
      <w:r>
        <w:t xml:space="preserve">Zahtjev </w:t>
      </w:r>
      <w:r w:rsidR="003E24EA">
        <w:t xml:space="preserve">je izrađen na obrascu III </w:t>
      </w:r>
      <w:r w:rsidR="00027E9B">
        <w:t xml:space="preserve">Uredbe </w:t>
      </w:r>
      <w:r w:rsidR="00234427">
        <w:t xml:space="preserve">koji je izradila ovlaštena konsultantska kuća </w:t>
      </w:r>
      <w:r w:rsidR="003F09FE">
        <w:t>„</w:t>
      </w:r>
      <w:r w:rsidR="008F1DD7">
        <w:t>Ceteor</w:t>
      </w:r>
      <w:r w:rsidR="003F09FE">
        <w:t>“</w:t>
      </w:r>
      <w:r w:rsidR="007F0141">
        <w:t xml:space="preserve"> </w:t>
      </w:r>
      <w:r w:rsidR="00F92920">
        <w:t xml:space="preserve">d.o.o. </w:t>
      </w:r>
      <w:r w:rsidR="008F1DD7">
        <w:t xml:space="preserve"> Sarajevo </w:t>
      </w:r>
      <w:r w:rsidR="007F0141">
        <w:t xml:space="preserve">a uz zahtjev je priložen i Plan upravljanja otpadom. </w:t>
      </w:r>
    </w:p>
    <w:p w14:paraId="421C9DB3" w14:textId="2265486A" w:rsidR="00610B46" w:rsidRDefault="004D37A6" w:rsidP="004C58E7">
      <w:pPr>
        <w:tabs>
          <w:tab w:val="left" w:pos="1950"/>
        </w:tabs>
        <w:spacing w:after="0"/>
        <w:ind w:left="360"/>
        <w:jc w:val="both"/>
      </w:pPr>
      <w:r>
        <w:t xml:space="preserve">Rješavajući predmetni zahtjev </w:t>
      </w:r>
      <w:r w:rsidR="00E41172">
        <w:t xml:space="preserve">utvrđeno je da je isti podnesen </w:t>
      </w:r>
      <w:r w:rsidR="004E075B">
        <w:t xml:space="preserve">na </w:t>
      </w:r>
      <w:r w:rsidR="00690AD6">
        <w:t xml:space="preserve">propisanom obrascu </w:t>
      </w:r>
      <w:r w:rsidR="00D34367">
        <w:t xml:space="preserve">iz </w:t>
      </w:r>
      <w:r w:rsidR="00690AD6">
        <w:t xml:space="preserve">Priloga III Uredbe </w:t>
      </w:r>
      <w:r w:rsidR="00D34367">
        <w:t>kojom se utvrđuju pogoni i postrojenja koji moraju imati okolišnu dozvolu.</w:t>
      </w:r>
    </w:p>
    <w:p w14:paraId="1D34CEE3" w14:textId="03A67874" w:rsidR="0011070C" w:rsidRDefault="00123849" w:rsidP="004C58E7">
      <w:pPr>
        <w:tabs>
          <w:tab w:val="left" w:pos="1950"/>
        </w:tabs>
        <w:spacing w:after="0"/>
        <w:ind w:left="360"/>
        <w:jc w:val="both"/>
      </w:pPr>
      <w:r>
        <w:t xml:space="preserve">Zahtjev je pripremljen u skladu s članom 86. Zakona o zaštiti okoliša </w:t>
      </w:r>
      <w:r w:rsidR="007652D2">
        <w:t>(„Sl.novine Federacije BiH“, broj:</w:t>
      </w:r>
      <w:r w:rsidR="004C58E7">
        <w:t xml:space="preserve"> </w:t>
      </w:r>
      <w:r w:rsidR="007652D2">
        <w:t>15/21) te uz zahtjev dostavljena i sljedeća dokumentacija:</w:t>
      </w:r>
    </w:p>
    <w:p w14:paraId="7EF18D0F" w14:textId="4AC32CF9" w:rsidR="007652D2" w:rsidRDefault="00DD26BD" w:rsidP="004C58E7">
      <w:pPr>
        <w:pStyle w:val="Odlomakpopisa"/>
        <w:numPr>
          <w:ilvl w:val="0"/>
          <w:numId w:val="5"/>
        </w:numPr>
        <w:tabs>
          <w:tab w:val="left" w:pos="1950"/>
        </w:tabs>
        <w:spacing w:after="0"/>
        <w:jc w:val="both"/>
      </w:pPr>
      <w:r>
        <w:t>Plan upravljanja otpadom</w:t>
      </w:r>
    </w:p>
    <w:p w14:paraId="0BAED5A6" w14:textId="4A2C8020" w:rsidR="00DD26BD" w:rsidRDefault="0094019B" w:rsidP="004C58E7">
      <w:pPr>
        <w:pStyle w:val="Odlomakpopisa"/>
        <w:numPr>
          <w:ilvl w:val="0"/>
          <w:numId w:val="5"/>
        </w:numPr>
        <w:tabs>
          <w:tab w:val="left" w:pos="1950"/>
        </w:tabs>
        <w:spacing w:after="0"/>
        <w:jc w:val="both"/>
      </w:pPr>
      <w:r>
        <w:t>Zemljišnoknjižni izvadak i posjedovni list</w:t>
      </w:r>
    </w:p>
    <w:p w14:paraId="2844E315" w14:textId="61F82D34" w:rsidR="0094019B" w:rsidRDefault="003466E1" w:rsidP="004C58E7">
      <w:pPr>
        <w:pStyle w:val="Odlomakpopisa"/>
        <w:numPr>
          <w:ilvl w:val="0"/>
          <w:numId w:val="5"/>
        </w:numPr>
        <w:tabs>
          <w:tab w:val="left" w:pos="1950"/>
        </w:tabs>
        <w:spacing w:after="0"/>
        <w:jc w:val="both"/>
      </w:pPr>
      <w:r>
        <w:t>Podneseni zahtjev za izdavanje vodne dozvole</w:t>
      </w:r>
    </w:p>
    <w:p w14:paraId="3DBAF693" w14:textId="244064C0" w:rsidR="003466E1" w:rsidRDefault="003466E1" w:rsidP="004C58E7">
      <w:pPr>
        <w:pStyle w:val="Odlomakpopisa"/>
        <w:numPr>
          <w:ilvl w:val="0"/>
          <w:numId w:val="5"/>
        </w:numPr>
        <w:tabs>
          <w:tab w:val="left" w:pos="1950"/>
        </w:tabs>
        <w:spacing w:after="0"/>
        <w:jc w:val="both"/>
      </w:pPr>
      <w:r>
        <w:t>Netehnički rezime</w:t>
      </w:r>
    </w:p>
    <w:p w14:paraId="518CE7D9" w14:textId="599B1AFB" w:rsidR="00087EC1" w:rsidRDefault="0026195D" w:rsidP="004C58E7">
      <w:pPr>
        <w:pStyle w:val="Odlomakpopisa"/>
        <w:numPr>
          <w:ilvl w:val="0"/>
          <w:numId w:val="5"/>
        </w:numPr>
        <w:tabs>
          <w:tab w:val="left" w:pos="1950"/>
        </w:tabs>
        <w:spacing w:after="0"/>
        <w:jc w:val="both"/>
      </w:pPr>
      <w:r>
        <w:t>Okolišnu dozvolu izdatu od strane Federalnog ministarstva okoliša i turizma</w:t>
      </w:r>
    </w:p>
    <w:p w14:paraId="3F92DF7F" w14:textId="51CE6F0D" w:rsidR="0026195D" w:rsidRDefault="00770083" w:rsidP="004C58E7">
      <w:pPr>
        <w:pStyle w:val="Odlomakpopisa"/>
        <w:numPr>
          <w:ilvl w:val="0"/>
          <w:numId w:val="5"/>
        </w:numPr>
        <w:tabs>
          <w:tab w:val="left" w:pos="1950"/>
        </w:tabs>
        <w:spacing w:after="0"/>
        <w:jc w:val="both"/>
      </w:pPr>
      <w:r>
        <w:t>Izvještaj o monitoringu kvaliteta i kvantiteta otpadnih voda</w:t>
      </w:r>
    </w:p>
    <w:p w14:paraId="5B2B3106" w14:textId="28D5079A" w:rsidR="00A77468" w:rsidRDefault="00A12ABE" w:rsidP="004C58E7">
      <w:pPr>
        <w:pStyle w:val="Odlomakpopisa"/>
        <w:numPr>
          <w:ilvl w:val="0"/>
          <w:numId w:val="5"/>
        </w:numPr>
        <w:tabs>
          <w:tab w:val="left" w:pos="1950"/>
        </w:tabs>
        <w:spacing w:after="0"/>
        <w:jc w:val="both"/>
      </w:pPr>
      <w:r>
        <w:t>Položaj pogona</w:t>
      </w:r>
    </w:p>
    <w:p w14:paraId="58F65E29" w14:textId="627E283D" w:rsidR="00A12ABE" w:rsidRDefault="00A12ABE" w:rsidP="004C58E7">
      <w:pPr>
        <w:pStyle w:val="Odlomakpopisa"/>
        <w:numPr>
          <w:ilvl w:val="0"/>
          <w:numId w:val="5"/>
        </w:numPr>
        <w:tabs>
          <w:tab w:val="left" w:pos="1950"/>
        </w:tabs>
        <w:spacing w:after="0"/>
        <w:jc w:val="both"/>
      </w:pPr>
      <w:r>
        <w:t xml:space="preserve">Tlocrt </w:t>
      </w:r>
      <w:r w:rsidR="00983319">
        <w:t>pogona</w:t>
      </w:r>
    </w:p>
    <w:p w14:paraId="0AF3CA65" w14:textId="2F085638" w:rsidR="00983319" w:rsidRDefault="00983319" w:rsidP="004C58E7">
      <w:pPr>
        <w:pStyle w:val="Odlomakpopisa"/>
        <w:numPr>
          <w:ilvl w:val="0"/>
          <w:numId w:val="5"/>
        </w:numPr>
        <w:tabs>
          <w:tab w:val="left" w:pos="1950"/>
        </w:tabs>
        <w:spacing w:after="0"/>
        <w:jc w:val="both"/>
      </w:pPr>
      <w:r>
        <w:t>Tehnološka shema pogona</w:t>
      </w:r>
    </w:p>
    <w:p w14:paraId="58C98014" w14:textId="34FC2FF9" w:rsidR="00983319" w:rsidRDefault="00983319" w:rsidP="004C58E7">
      <w:pPr>
        <w:pStyle w:val="Odlomakpopisa"/>
        <w:numPr>
          <w:ilvl w:val="0"/>
          <w:numId w:val="5"/>
        </w:numPr>
        <w:tabs>
          <w:tab w:val="left" w:pos="1950"/>
        </w:tabs>
        <w:spacing w:after="0"/>
        <w:jc w:val="both"/>
      </w:pPr>
      <w:r>
        <w:t>Shema kotlovskog postrojenja</w:t>
      </w:r>
    </w:p>
    <w:p w14:paraId="00E21593" w14:textId="47BCA21B" w:rsidR="00A54AA7" w:rsidRDefault="00A54AA7" w:rsidP="004C58E7">
      <w:pPr>
        <w:pStyle w:val="Odlomakpopisa"/>
        <w:numPr>
          <w:ilvl w:val="0"/>
          <w:numId w:val="5"/>
        </w:numPr>
        <w:tabs>
          <w:tab w:val="left" w:pos="1950"/>
        </w:tabs>
        <w:spacing w:after="0"/>
        <w:jc w:val="both"/>
      </w:pPr>
      <w:r>
        <w:t>Tok otpadnih voda i mjerno mjesto.</w:t>
      </w:r>
    </w:p>
    <w:p w14:paraId="6A0711ED" w14:textId="77777777" w:rsidR="00A54AA7" w:rsidRDefault="00A54AA7" w:rsidP="004C58E7">
      <w:pPr>
        <w:pStyle w:val="Odlomakpopisa"/>
        <w:tabs>
          <w:tab w:val="left" w:pos="1950"/>
        </w:tabs>
        <w:spacing w:after="0"/>
        <w:ind w:left="1757"/>
        <w:jc w:val="both"/>
      </w:pPr>
    </w:p>
    <w:p w14:paraId="401B2E2F" w14:textId="77777777" w:rsidR="002324C6" w:rsidRDefault="002324C6" w:rsidP="004C58E7">
      <w:pPr>
        <w:pStyle w:val="Odlomakpopisa"/>
        <w:tabs>
          <w:tab w:val="left" w:pos="1950"/>
        </w:tabs>
        <w:spacing w:after="0"/>
        <w:ind w:left="1757"/>
        <w:jc w:val="both"/>
      </w:pPr>
    </w:p>
    <w:p w14:paraId="2DD2E495" w14:textId="04DDFB11" w:rsidR="004C4708" w:rsidRDefault="00C93AFF" w:rsidP="00C83CDB">
      <w:pPr>
        <w:tabs>
          <w:tab w:val="left" w:pos="1950"/>
        </w:tabs>
        <w:spacing w:after="0"/>
        <w:jc w:val="both"/>
      </w:pPr>
      <w:r>
        <w:lastRenderedPageBreak/>
        <w:t>U</w:t>
      </w:r>
      <w:r w:rsidR="00A2485F">
        <w:t xml:space="preserve"> zahtjevu za izdavanje okolišne dozvole dostavljen</w:t>
      </w:r>
      <w:r>
        <w:t xml:space="preserve"> je</w:t>
      </w:r>
      <w:r w:rsidR="00A2485F">
        <w:t xml:space="preserve"> vodni akt </w:t>
      </w:r>
      <w:r w:rsidR="00B96E14">
        <w:t>koji je istekao i kopija zahtjeva za izdavanje vodne dozvole upućen Ministarstvu</w:t>
      </w:r>
      <w:r w:rsidR="00752E1C">
        <w:t xml:space="preserve"> poljoprivrede,</w:t>
      </w:r>
      <w:r w:rsidR="00B96E14">
        <w:t xml:space="preserve"> vodoprivre</w:t>
      </w:r>
      <w:r w:rsidR="00752E1C">
        <w:t>de i šumarstva</w:t>
      </w:r>
      <w:r w:rsidR="003C2A2F">
        <w:t xml:space="preserve"> SBK/KSB</w:t>
      </w:r>
      <w:r w:rsidR="00D8444C">
        <w:t xml:space="preserve"> te</w:t>
      </w:r>
      <w:r w:rsidR="004C58E7">
        <w:t xml:space="preserve"> </w:t>
      </w:r>
      <w:r w:rsidR="00D8444C">
        <w:t>je</w:t>
      </w:r>
      <w:r w:rsidR="00752E1C">
        <w:t xml:space="preserve"> ovaj organ </w:t>
      </w:r>
      <w:r w:rsidR="00705837">
        <w:t>po službenoj dužn</w:t>
      </w:r>
      <w:r w:rsidR="0069457A">
        <w:t>osti u kontaktu s</w:t>
      </w:r>
      <w:r w:rsidR="00BE6134">
        <w:t xml:space="preserve"> navedenim</w:t>
      </w:r>
      <w:r w:rsidR="0069457A">
        <w:t xml:space="preserve"> </w:t>
      </w:r>
      <w:r w:rsidR="00BE6134">
        <w:t>Ministarstvom dobio informaciju da ne postoje prepreke za izdavanje vodnog akt</w:t>
      </w:r>
      <w:r w:rsidR="003C2A2F">
        <w:t>a</w:t>
      </w:r>
      <w:r w:rsidR="00451325">
        <w:t xml:space="preserve"> te da će isti biti donesen. </w:t>
      </w:r>
    </w:p>
    <w:p w14:paraId="5C4B84A0" w14:textId="70EA1220" w:rsidR="00CC0FE5" w:rsidRDefault="00C93AFF" w:rsidP="00C83CDB">
      <w:pPr>
        <w:tabs>
          <w:tab w:val="left" w:pos="1950"/>
        </w:tabs>
        <w:spacing w:after="0"/>
        <w:jc w:val="both"/>
      </w:pPr>
      <w:r>
        <w:t>Kako u</w:t>
      </w:r>
      <w:r w:rsidR="00CC0FE5">
        <w:t xml:space="preserve"> skladu s članom 88. Zakona o zaštiti okoliša </w:t>
      </w:r>
      <w:r w:rsidR="00842A15">
        <w:t>(„Sl.novine Federacije BiH“, broj:</w:t>
      </w:r>
      <w:r w:rsidR="004C58E7">
        <w:t xml:space="preserve"> </w:t>
      </w:r>
      <w:r w:rsidR="00842A15">
        <w:t xml:space="preserve">15/21) nadležno ministarstvo </w:t>
      </w:r>
      <w:r w:rsidR="00582385">
        <w:t xml:space="preserve">treba da osigura učešće javnosti u postupku </w:t>
      </w:r>
      <w:r w:rsidR="00C83B2D">
        <w:t xml:space="preserve">izdavanja dozvole, </w:t>
      </w:r>
      <w:r w:rsidR="00AB3086">
        <w:t xml:space="preserve">dokumentacija je u </w:t>
      </w:r>
      <w:r w:rsidR="006224B4">
        <w:t>svrhu upoznavanja</w:t>
      </w:r>
      <w:r w:rsidR="00B74A61">
        <w:t xml:space="preserve"> javnosti</w:t>
      </w:r>
      <w:r w:rsidR="006224B4">
        <w:t xml:space="preserve"> s namjeravanim zahvatom </w:t>
      </w:r>
      <w:r w:rsidR="0025612F">
        <w:t xml:space="preserve">te davanja primjedbi i sugestija objavljena na web stranici Vlade SBK/KSB </w:t>
      </w:r>
      <w:r w:rsidR="00240018">
        <w:t xml:space="preserve">dana </w:t>
      </w:r>
      <w:r w:rsidR="00836A24">
        <w:t>26. 9. 2023. godine</w:t>
      </w:r>
      <w:r w:rsidR="005E0BC5">
        <w:t>,</w:t>
      </w:r>
      <w:r w:rsidR="00836A24">
        <w:t xml:space="preserve"> te u dopisu </w:t>
      </w:r>
      <w:r w:rsidR="007066FC">
        <w:t xml:space="preserve">službi za opće poslove </w:t>
      </w:r>
      <w:r w:rsidR="008A513A">
        <w:t xml:space="preserve">općine Novi Travnik zatraženo da se obavijeste članovi mjesne zajednice, udruženja </w:t>
      </w:r>
      <w:r w:rsidR="000E2929">
        <w:t>građana, javnost i zainteresovane strane o podnesenom zahtjevu</w:t>
      </w:r>
      <w:r w:rsidR="00C83CDB">
        <w:t>,</w:t>
      </w:r>
      <w:r w:rsidR="00857E4A">
        <w:t xml:space="preserve"> a cjelokupan zahtjev za izdavanje okolišne dozvole bio je dostupan i u prostorijama Ministarstva.</w:t>
      </w:r>
    </w:p>
    <w:p w14:paraId="1AD34B34" w14:textId="615A5B23" w:rsidR="00451325" w:rsidRDefault="00DA0E68" w:rsidP="00C83CDB">
      <w:pPr>
        <w:tabs>
          <w:tab w:val="left" w:pos="1950"/>
        </w:tabs>
        <w:spacing w:after="0"/>
        <w:jc w:val="both"/>
      </w:pPr>
      <w:r>
        <w:t xml:space="preserve">Inspekcijskom kontrolom od strane kantonalnog inspektora zaštite okoliša </w:t>
      </w:r>
      <w:r w:rsidR="00833A00">
        <w:t xml:space="preserve">izvršenom dana </w:t>
      </w:r>
      <w:r w:rsidR="00E03C10">
        <w:t>23. 10 2023. godine</w:t>
      </w:r>
      <w:r w:rsidR="009121C5">
        <w:t>,</w:t>
      </w:r>
      <w:r w:rsidR="00E03C10">
        <w:t xml:space="preserve"> </w:t>
      </w:r>
      <w:r>
        <w:t>utvr</w:t>
      </w:r>
      <w:r w:rsidR="00E722F2">
        <w:t>đeno je da</w:t>
      </w:r>
      <w:r w:rsidR="00707C19">
        <w:t xml:space="preserve"> </w:t>
      </w:r>
      <w:r w:rsidR="00865E8C">
        <w:t xml:space="preserve">se lokacija postrojenja nalazi u krugu pogona </w:t>
      </w:r>
      <w:r w:rsidR="00D46173">
        <w:t xml:space="preserve">BNT Novi Travnik, </w:t>
      </w:r>
      <w:r w:rsidR="006C13E8">
        <w:t xml:space="preserve">da je </w:t>
      </w:r>
      <w:r w:rsidR="007E09CF">
        <w:t xml:space="preserve">instalirani kapacitet postrojenja </w:t>
      </w:r>
      <w:r w:rsidR="00532AFF">
        <w:t>52 MW (dva parna kotla po 26 MW)</w:t>
      </w:r>
      <w:r w:rsidR="005A7917">
        <w:t>.</w:t>
      </w:r>
      <w:r w:rsidR="000960D4">
        <w:t xml:space="preserve"> Kao osnovna sirovina u proizvodnji</w:t>
      </w:r>
      <w:r w:rsidR="00F36F23">
        <w:t xml:space="preserve"> </w:t>
      </w:r>
      <w:r w:rsidR="00A54A4B">
        <w:t>toplotne energije koristi se mrki ugalj</w:t>
      </w:r>
      <w:r w:rsidR="000960D4">
        <w:t xml:space="preserve"> granulacije grah/orah iz </w:t>
      </w:r>
      <w:r w:rsidR="00632FF4">
        <w:t>rudnika mrkog uglja Banovići i Bila.</w:t>
      </w:r>
    </w:p>
    <w:p w14:paraId="7AE01D3A" w14:textId="2D26B07E" w:rsidR="00132632" w:rsidRPr="00132632" w:rsidRDefault="00132632" w:rsidP="004C58E7">
      <w:pPr>
        <w:spacing w:after="0"/>
        <w:jc w:val="both"/>
        <w:rPr>
          <w:kern w:val="0"/>
          <w14:ligatures w14:val="none"/>
        </w:rPr>
      </w:pPr>
      <w:r w:rsidRPr="00132632">
        <w:rPr>
          <w:kern w:val="0"/>
          <w14:ligatures w14:val="none"/>
        </w:rPr>
        <w:t>Kako u  zakonskom roku od mjesec dana nije bilo primjedbi javnosti na objavljene dokumente, ocijenjeno je da su se stekli uvjeti za obnovu okolišne dozvole te je u skladu s članovima 86. 89. i 93. Zakona o zaštiti okoliša Federacije BiH („Sl. novine Federacije BiH“, broj</w:t>
      </w:r>
      <w:r w:rsidR="004C58E7">
        <w:rPr>
          <w:kern w:val="0"/>
          <w14:ligatures w14:val="none"/>
        </w:rPr>
        <w:t>:</w:t>
      </w:r>
      <w:r w:rsidRPr="00132632">
        <w:rPr>
          <w:kern w:val="0"/>
          <w14:ligatures w14:val="none"/>
        </w:rPr>
        <w:t xml:space="preserve"> 15/21) i članovima 4. 5. i 6. Uredbe kojom se utvrđuju pogoni i postrojenja koja moraju imati okolišnu dozvolu („Sl. novine Federacije BiH“, broj</w:t>
      </w:r>
      <w:r w:rsidR="004C58E7">
        <w:rPr>
          <w:kern w:val="0"/>
          <w14:ligatures w14:val="none"/>
        </w:rPr>
        <w:t>:</w:t>
      </w:r>
      <w:r w:rsidRPr="00132632">
        <w:rPr>
          <w:kern w:val="0"/>
          <w14:ligatures w14:val="none"/>
        </w:rPr>
        <w:t xml:space="preserve"> 51/21, 74/22) odlučeno kao u dispozitivu ovog Rješenja. </w:t>
      </w:r>
    </w:p>
    <w:p w14:paraId="02CE254C" w14:textId="77777777" w:rsidR="00132632" w:rsidRPr="00132632" w:rsidRDefault="00132632" w:rsidP="004C58E7">
      <w:pPr>
        <w:spacing w:after="0"/>
        <w:jc w:val="both"/>
        <w:rPr>
          <w:kern w:val="0"/>
          <w14:ligatures w14:val="none"/>
        </w:rPr>
      </w:pPr>
    </w:p>
    <w:p w14:paraId="39798563" w14:textId="77777777" w:rsidR="00132632" w:rsidRPr="00132632" w:rsidRDefault="00132632" w:rsidP="004C58E7">
      <w:pPr>
        <w:spacing w:after="0"/>
        <w:jc w:val="both"/>
        <w:rPr>
          <w:kern w:val="0"/>
          <w14:ligatures w14:val="none"/>
        </w:rPr>
      </w:pPr>
      <w:r w:rsidRPr="00132632">
        <w:rPr>
          <w:kern w:val="0"/>
          <w:u w:val="single"/>
          <w14:ligatures w14:val="none"/>
        </w:rPr>
        <w:t>Pouka o pravnom lijeku</w:t>
      </w:r>
      <w:r w:rsidRPr="00132632">
        <w:rPr>
          <w:kern w:val="0"/>
          <w14:ligatures w14:val="none"/>
        </w:rPr>
        <w:t>:</w:t>
      </w:r>
    </w:p>
    <w:p w14:paraId="05FF0A53" w14:textId="77777777" w:rsidR="00132632" w:rsidRPr="00132632" w:rsidRDefault="00132632" w:rsidP="004C58E7">
      <w:pPr>
        <w:spacing w:after="0"/>
        <w:jc w:val="both"/>
        <w:rPr>
          <w:kern w:val="0"/>
          <w14:ligatures w14:val="none"/>
        </w:rPr>
      </w:pPr>
    </w:p>
    <w:p w14:paraId="243BD717" w14:textId="77777777" w:rsidR="00132632" w:rsidRPr="00132632" w:rsidRDefault="00132632" w:rsidP="004C58E7">
      <w:pPr>
        <w:spacing w:after="0"/>
        <w:jc w:val="both"/>
        <w:rPr>
          <w:kern w:val="0"/>
          <w14:ligatures w14:val="none"/>
        </w:rPr>
      </w:pPr>
      <w:r w:rsidRPr="00132632">
        <w:rPr>
          <w:kern w:val="0"/>
          <w14:ligatures w14:val="none"/>
        </w:rPr>
        <w:t xml:space="preserve">Protiv ovog Rješenja nezadovoljna strana može izjaviti žalbu kod Federalnog ministarstva okoliša i turizma u Sarajevu u roku od petnaest (15) dana od primitka ovog Rješenja. Žalba se podnosi u originalu ili ovjerenom prijepisu. </w:t>
      </w:r>
    </w:p>
    <w:p w14:paraId="26B74507" w14:textId="7386C0D3" w:rsidR="00132632" w:rsidRPr="00132632" w:rsidRDefault="00132632" w:rsidP="004C58E7">
      <w:pPr>
        <w:spacing w:before="280" w:after="280" w:line="240" w:lineRule="auto"/>
        <w:jc w:val="both"/>
        <w:rPr>
          <w:rFonts w:eastAsia="Times New Roman" w:cstheme="minorHAnsi"/>
          <w:color w:val="000000"/>
          <w:kern w:val="0"/>
          <w:lang w:eastAsia="zh-CN"/>
          <w14:ligatures w14:val="none"/>
        </w:rPr>
      </w:pPr>
      <w:r w:rsidRPr="00132632">
        <w:rPr>
          <w:rFonts w:eastAsia="Times New Roman" w:cstheme="minorHAnsi"/>
          <w:color w:val="000000"/>
          <w:kern w:val="0"/>
          <w:lang w:eastAsia="zh-CN"/>
          <w14:ligatures w14:val="none"/>
        </w:rPr>
        <w:t>Podnositelj zahtjeva je u skladu</w:t>
      </w:r>
      <w:r w:rsidR="008A071F">
        <w:rPr>
          <w:rFonts w:eastAsia="Times New Roman" w:cstheme="minorHAnsi"/>
          <w:color w:val="000000"/>
          <w:kern w:val="0"/>
          <w:lang w:eastAsia="zh-CN"/>
          <w14:ligatures w14:val="none"/>
        </w:rPr>
        <w:t xml:space="preserve"> sa </w:t>
      </w:r>
      <w:r w:rsidRPr="00132632">
        <w:rPr>
          <w:rFonts w:eastAsia="Times New Roman" w:cstheme="minorHAnsi"/>
          <w:color w:val="000000"/>
          <w:kern w:val="0"/>
          <w:lang w:eastAsia="zh-CN"/>
          <w14:ligatures w14:val="none"/>
        </w:rPr>
        <w:t>Zakon</w:t>
      </w:r>
      <w:r w:rsidR="008A071F">
        <w:rPr>
          <w:rFonts w:eastAsia="Times New Roman" w:cstheme="minorHAnsi"/>
          <w:color w:val="000000"/>
          <w:kern w:val="0"/>
          <w:lang w:eastAsia="zh-CN"/>
          <w14:ligatures w14:val="none"/>
        </w:rPr>
        <w:t>om</w:t>
      </w:r>
      <w:r w:rsidRPr="00132632">
        <w:rPr>
          <w:rFonts w:eastAsia="Times New Roman" w:cstheme="minorHAnsi"/>
          <w:color w:val="000000"/>
          <w:kern w:val="0"/>
          <w:lang w:eastAsia="zh-CN"/>
          <w14:ligatures w14:val="none"/>
        </w:rPr>
        <w:t xml:space="preserve"> o izmjenama i dopunama Zakona o kantonalnim administrativnim taksama ("Sl. novine KSB/SBK ", br. 5/12), tarifni br. 50, tačka 1. izvršio uplatu od 150,00 KM na depozitni račun broj: 338-000-22050030-05 kod Unicredit banke Travnik, šifra općine </w:t>
      </w:r>
      <w:r w:rsidR="00BF7EB0">
        <w:rPr>
          <w:rFonts w:eastAsia="Times New Roman" w:cstheme="minorHAnsi"/>
          <w:color w:val="000000"/>
          <w:kern w:val="0"/>
          <w:lang w:eastAsia="zh-CN"/>
          <w14:ligatures w14:val="none"/>
        </w:rPr>
        <w:t>065</w:t>
      </w:r>
      <w:r w:rsidRPr="00132632">
        <w:rPr>
          <w:rFonts w:eastAsia="Times New Roman" w:cstheme="minorHAnsi"/>
          <w:color w:val="000000"/>
          <w:kern w:val="0"/>
          <w:lang w:eastAsia="zh-CN"/>
          <w14:ligatures w14:val="none"/>
        </w:rPr>
        <w:t>, vrsta prihoda 722 121, budžetska organizacija 1801001.</w:t>
      </w:r>
    </w:p>
    <w:p w14:paraId="343C85C2" w14:textId="77777777" w:rsidR="00C83CDB" w:rsidRDefault="00C83CDB" w:rsidP="00C83CDB">
      <w:pPr>
        <w:pStyle w:val="StandardWeb1"/>
        <w:ind w:left="6372"/>
        <w:jc w:val="both"/>
        <w:rPr>
          <w:rFonts w:cstheme="minorHAnsi"/>
          <w:color w:val="000000"/>
        </w:rPr>
      </w:pPr>
    </w:p>
    <w:p w14:paraId="47E1C4B9" w14:textId="6D92CFD8" w:rsidR="00C83CDB" w:rsidRPr="00C83CDB" w:rsidRDefault="00C83CDB" w:rsidP="00C83CDB">
      <w:pPr>
        <w:pStyle w:val="StandardWeb1"/>
        <w:ind w:left="6372"/>
        <w:jc w:val="both"/>
        <w:rPr>
          <w:rFonts w:cstheme="minorHAnsi"/>
          <w:b/>
          <w:bCs/>
          <w:color w:val="000000"/>
        </w:rPr>
      </w:pPr>
      <w:r w:rsidRPr="00C83CDB">
        <w:rPr>
          <w:rFonts w:cstheme="minorHAnsi"/>
          <w:color w:val="000000"/>
        </w:rPr>
        <w:t xml:space="preserve">                                                                                                                      </w:t>
      </w:r>
      <w:proofErr w:type="spellStart"/>
      <w:r w:rsidRPr="00C83CDB">
        <w:rPr>
          <w:rFonts w:cstheme="minorHAnsi"/>
          <w:b/>
          <w:bCs/>
          <w:color w:val="000000"/>
        </w:rPr>
        <w:t>Ministar</w:t>
      </w:r>
      <w:proofErr w:type="spellEnd"/>
    </w:p>
    <w:p w14:paraId="3B44B849" w14:textId="0DD0AC19" w:rsidR="00C83CDB" w:rsidRPr="00C83CDB" w:rsidRDefault="00C83CDB" w:rsidP="00C83CDB">
      <w:pPr>
        <w:spacing w:after="0" w:line="240" w:lineRule="auto"/>
        <w:jc w:val="both"/>
        <w:rPr>
          <w:rFonts w:eastAsia="Times New Roman" w:cstheme="minorHAnsi"/>
          <w:color w:val="000000"/>
          <w:kern w:val="0"/>
          <w:lang w:val="en-US" w:eastAsia="zh-CN"/>
          <w14:ligatures w14:val="none"/>
        </w:rPr>
      </w:pPr>
      <w:r w:rsidRPr="00C83CDB">
        <w:rPr>
          <w:rFonts w:eastAsia="Times New Roman" w:cstheme="minorHAnsi"/>
          <w:color w:val="000000"/>
          <w:kern w:val="0"/>
          <w:lang w:val="en-US" w:eastAsia="zh-CN"/>
          <w14:ligatures w14:val="none"/>
        </w:rPr>
        <w:t xml:space="preserve"> </w:t>
      </w:r>
      <w:r>
        <w:rPr>
          <w:rFonts w:eastAsia="Times New Roman" w:cstheme="minorHAnsi"/>
          <w:color w:val="000000"/>
          <w:kern w:val="0"/>
          <w:lang w:val="en-US" w:eastAsia="zh-CN"/>
          <w14:ligatures w14:val="none"/>
        </w:rPr>
        <w:t xml:space="preserve">                                                                                                                        </w:t>
      </w:r>
      <w:r w:rsidRPr="00C83CDB">
        <w:rPr>
          <w:rFonts w:eastAsia="Times New Roman" w:cstheme="minorHAnsi"/>
          <w:color w:val="000000"/>
          <w:kern w:val="0"/>
          <w:lang w:val="en-US" w:eastAsia="zh-CN"/>
          <w14:ligatures w14:val="none"/>
        </w:rPr>
        <w:t xml:space="preserve">Amir </w:t>
      </w:r>
      <w:proofErr w:type="spellStart"/>
      <w:r w:rsidRPr="00C83CDB">
        <w:rPr>
          <w:rFonts w:eastAsia="Times New Roman" w:cstheme="minorHAnsi"/>
          <w:color w:val="000000"/>
          <w:kern w:val="0"/>
          <w:lang w:val="en-US" w:eastAsia="zh-CN"/>
          <w14:ligatures w14:val="none"/>
        </w:rPr>
        <w:t>Šečibović</w:t>
      </w:r>
      <w:proofErr w:type="spellEnd"/>
      <w:r w:rsidRPr="00C83CDB">
        <w:rPr>
          <w:rFonts w:eastAsia="Times New Roman" w:cstheme="minorHAnsi"/>
          <w:color w:val="000000"/>
          <w:kern w:val="0"/>
          <w:lang w:val="en-US" w:eastAsia="zh-CN"/>
          <w14:ligatures w14:val="none"/>
        </w:rPr>
        <w:t>, prof.</w:t>
      </w:r>
    </w:p>
    <w:p w14:paraId="690E4FBA" w14:textId="078D34D7" w:rsidR="002158F4" w:rsidRPr="00C83CDB" w:rsidRDefault="002158F4" w:rsidP="004C58E7">
      <w:pPr>
        <w:tabs>
          <w:tab w:val="left" w:pos="1950"/>
        </w:tabs>
        <w:spacing w:after="0"/>
        <w:ind w:left="360"/>
        <w:jc w:val="both"/>
        <w:rPr>
          <w:lang w:val="en-US"/>
        </w:rPr>
      </w:pPr>
    </w:p>
    <w:sectPr w:rsidR="002158F4" w:rsidRPr="00C83C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3"/>
    <w:multiLevelType w:val="hybridMultilevel"/>
    <w:tmpl w:val="00000063"/>
    <w:lvl w:ilvl="0" w:tplc="B33A6E56">
      <w:start w:val="1"/>
      <w:numFmt w:val="bullet"/>
      <w:lvlText w:val="-"/>
      <w:lvlJc w:val="left"/>
      <w:pPr>
        <w:tabs>
          <w:tab w:val="num" w:pos="1757"/>
        </w:tabs>
        <w:ind w:left="1757" w:hanging="361"/>
      </w:pPr>
      <w:rPr>
        <w:rFonts w:ascii="Calibri" w:eastAsia="Calibri" w:hAnsi="Calibri" w:cs="Calibri"/>
        <w:b w:val="0"/>
        <w:bCs w:val="0"/>
        <w:i w:val="0"/>
        <w:iCs w:val="0"/>
        <w:sz w:val="22"/>
      </w:rPr>
    </w:lvl>
    <w:lvl w:ilvl="1" w:tplc="6F2414E6">
      <w:start w:val="1"/>
      <w:numFmt w:val="bullet"/>
      <w:lvlText w:val="o"/>
      <w:lvlJc w:val="left"/>
      <w:pPr>
        <w:tabs>
          <w:tab w:val="num" w:pos="1440"/>
        </w:tabs>
        <w:ind w:left="1440" w:hanging="360"/>
      </w:pPr>
      <w:rPr>
        <w:rFonts w:ascii="Courier New" w:hAnsi="Courier New"/>
      </w:rPr>
    </w:lvl>
    <w:lvl w:ilvl="2" w:tplc="01F0D438">
      <w:start w:val="1"/>
      <w:numFmt w:val="bullet"/>
      <w:lvlText w:val=""/>
      <w:lvlJc w:val="left"/>
      <w:pPr>
        <w:tabs>
          <w:tab w:val="num" w:pos="2160"/>
        </w:tabs>
        <w:ind w:left="2160" w:hanging="360"/>
      </w:pPr>
      <w:rPr>
        <w:rFonts w:ascii="Wingdings" w:hAnsi="Wingdings"/>
      </w:rPr>
    </w:lvl>
    <w:lvl w:ilvl="3" w:tplc="060C6548">
      <w:start w:val="1"/>
      <w:numFmt w:val="bullet"/>
      <w:lvlText w:val=""/>
      <w:lvlJc w:val="left"/>
      <w:pPr>
        <w:tabs>
          <w:tab w:val="num" w:pos="2880"/>
        </w:tabs>
        <w:ind w:left="2880" w:hanging="360"/>
      </w:pPr>
      <w:rPr>
        <w:rFonts w:ascii="Symbol" w:hAnsi="Symbol"/>
      </w:rPr>
    </w:lvl>
    <w:lvl w:ilvl="4" w:tplc="0B0E6266">
      <w:start w:val="1"/>
      <w:numFmt w:val="bullet"/>
      <w:lvlText w:val="o"/>
      <w:lvlJc w:val="left"/>
      <w:pPr>
        <w:tabs>
          <w:tab w:val="num" w:pos="3600"/>
        </w:tabs>
        <w:ind w:left="3600" w:hanging="360"/>
      </w:pPr>
      <w:rPr>
        <w:rFonts w:ascii="Courier New" w:hAnsi="Courier New"/>
      </w:rPr>
    </w:lvl>
    <w:lvl w:ilvl="5" w:tplc="5ECE5954">
      <w:start w:val="1"/>
      <w:numFmt w:val="bullet"/>
      <w:lvlText w:val=""/>
      <w:lvlJc w:val="left"/>
      <w:pPr>
        <w:tabs>
          <w:tab w:val="num" w:pos="4320"/>
        </w:tabs>
        <w:ind w:left="4320" w:hanging="360"/>
      </w:pPr>
      <w:rPr>
        <w:rFonts w:ascii="Wingdings" w:hAnsi="Wingdings"/>
      </w:rPr>
    </w:lvl>
    <w:lvl w:ilvl="6" w:tplc="5F70E960">
      <w:start w:val="1"/>
      <w:numFmt w:val="bullet"/>
      <w:lvlText w:val=""/>
      <w:lvlJc w:val="left"/>
      <w:pPr>
        <w:tabs>
          <w:tab w:val="num" w:pos="5040"/>
        </w:tabs>
        <w:ind w:left="5040" w:hanging="360"/>
      </w:pPr>
      <w:rPr>
        <w:rFonts w:ascii="Symbol" w:hAnsi="Symbol"/>
      </w:rPr>
    </w:lvl>
    <w:lvl w:ilvl="7" w:tplc="A60CB42C">
      <w:start w:val="1"/>
      <w:numFmt w:val="bullet"/>
      <w:lvlText w:val="o"/>
      <w:lvlJc w:val="left"/>
      <w:pPr>
        <w:tabs>
          <w:tab w:val="num" w:pos="5760"/>
        </w:tabs>
        <w:ind w:left="5760" w:hanging="360"/>
      </w:pPr>
      <w:rPr>
        <w:rFonts w:ascii="Courier New" w:hAnsi="Courier New"/>
      </w:rPr>
    </w:lvl>
    <w:lvl w:ilvl="8" w:tplc="7FB277F8">
      <w:start w:val="1"/>
      <w:numFmt w:val="bullet"/>
      <w:lvlText w:val=""/>
      <w:lvlJc w:val="left"/>
      <w:pPr>
        <w:tabs>
          <w:tab w:val="num" w:pos="6480"/>
        </w:tabs>
        <w:ind w:left="6480" w:hanging="360"/>
      </w:pPr>
      <w:rPr>
        <w:rFonts w:ascii="Wingdings" w:hAnsi="Wingdings"/>
      </w:rPr>
    </w:lvl>
  </w:abstractNum>
  <w:abstractNum w:abstractNumId="1" w15:restartNumberingAfterBreak="0">
    <w:nsid w:val="00000064"/>
    <w:multiLevelType w:val="hybridMultilevel"/>
    <w:tmpl w:val="00000064"/>
    <w:lvl w:ilvl="0" w:tplc="BB4006D2">
      <w:start w:val="1"/>
      <w:numFmt w:val="bullet"/>
      <w:lvlText w:val="•"/>
      <w:lvlJc w:val="left"/>
      <w:pPr>
        <w:tabs>
          <w:tab w:val="num" w:pos="2268"/>
        </w:tabs>
        <w:ind w:left="2268" w:hanging="151"/>
      </w:pPr>
      <w:rPr>
        <w:rFonts w:ascii="Calibri" w:eastAsia="Calibri" w:hAnsi="Calibri" w:cs="Calibri"/>
        <w:b w:val="0"/>
        <w:bCs w:val="0"/>
        <w:i w:val="0"/>
        <w:iCs w:val="0"/>
        <w:sz w:val="22"/>
      </w:rPr>
    </w:lvl>
    <w:lvl w:ilvl="1" w:tplc="275426C6">
      <w:start w:val="1"/>
      <w:numFmt w:val="bullet"/>
      <w:lvlText w:val="o"/>
      <w:lvlJc w:val="left"/>
      <w:pPr>
        <w:tabs>
          <w:tab w:val="num" w:pos="1440"/>
        </w:tabs>
        <w:ind w:left="1440" w:hanging="360"/>
      </w:pPr>
      <w:rPr>
        <w:rFonts w:ascii="Courier New" w:hAnsi="Courier New"/>
      </w:rPr>
    </w:lvl>
    <w:lvl w:ilvl="2" w:tplc="EDC6809A">
      <w:start w:val="1"/>
      <w:numFmt w:val="bullet"/>
      <w:lvlText w:val=""/>
      <w:lvlJc w:val="left"/>
      <w:pPr>
        <w:tabs>
          <w:tab w:val="num" w:pos="2160"/>
        </w:tabs>
        <w:ind w:left="2160" w:hanging="360"/>
      </w:pPr>
      <w:rPr>
        <w:rFonts w:ascii="Wingdings" w:hAnsi="Wingdings"/>
      </w:rPr>
    </w:lvl>
    <w:lvl w:ilvl="3" w:tplc="08BC5C7A">
      <w:start w:val="1"/>
      <w:numFmt w:val="bullet"/>
      <w:lvlText w:val=""/>
      <w:lvlJc w:val="left"/>
      <w:pPr>
        <w:tabs>
          <w:tab w:val="num" w:pos="2880"/>
        </w:tabs>
        <w:ind w:left="2880" w:hanging="360"/>
      </w:pPr>
      <w:rPr>
        <w:rFonts w:ascii="Symbol" w:hAnsi="Symbol"/>
      </w:rPr>
    </w:lvl>
    <w:lvl w:ilvl="4" w:tplc="4FAA89C4">
      <w:start w:val="1"/>
      <w:numFmt w:val="bullet"/>
      <w:lvlText w:val="o"/>
      <w:lvlJc w:val="left"/>
      <w:pPr>
        <w:tabs>
          <w:tab w:val="num" w:pos="3600"/>
        </w:tabs>
        <w:ind w:left="3600" w:hanging="360"/>
      </w:pPr>
      <w:rPr>
        <w:rFonts w:ascii="Courier New" w:hAnsi="Courier New"/>
      </w:rPr>
    </w:lvl>
    <w:lvl w:ilvl="5" w:tplc="98C64A0C">
      <w:start w:val="1"/>
      <w:numFmt w:val="bullet"/>
      <w:lvlText w:val=""/>
      <w:lvlJc w:val="left"/>
      <w:pPr>
        <w:tabs>
          <w:tab w:val="num" w:pos="4320"/>
        </w:tabs>
        <w:ind w:left="4320" w:hanging="360"/>
      </w:pPr>
      <w:rPr>
        <w:rFonts w:ascii="Wingdings" w:hAnsi="Wingdings"/>
      </w:rPr>
    </w:lvl>
    <w:lvl w:ilvl="6" w:tplc="08D6528C">
      <w:start w:val="1"/>
      <w:numFmt w:val="bullet"/>
      <w:lvlText w:val=""/>
      <w:lvlJc w:val="left"/>
      <w:pPr>
        <w:tabs>
          <w:tab w:val="num" w:pos="5040"/>
        </w:tabs>
        <w:ind w:left="5040" w:hanging="360"/>
      </w:pPr>
      <w:rPr>
        <w:rFonts w:ascii="Symbol" w:hAnsi="Symbol"/>
      </w:rPr>
    </w:lvl>
    <w:lvl w:ilvl="7" w:tplc="15A82BBA">
      <w:start w:val="1"/>
      <w:numFmt w:val="bullet"/>
      <w:lvlText w:val="o"/>
      <w:lvlJc w:val="left"/>
      <w:pPr>
        <w:tabs>
          <w:tab w:val="num" w:pos="5760"/>
        </w:tabs>
        <w:ind w:left="5760" w:hanging="360"/>
      </w:pPr>
      <w:rPr>
        <w:rFonts w:ascii="Courier New" w:hAnsi="Courier New"/>
      </w:rPr>
    </w:lvl>
    <w:lvl w:ilvl="8" w:tplc="DABABD9E">
      <w:start w:val="1"/>
      <w:numFmt w:val="bullet"/>
      <w:lvlText w:val=""/>
      <w:lvlJc w:val="left"/>
      <w:pPr>
        <w:tabs>
          <w:tab w:val="num" w:pos="6480"/>
        </w:tabs>
        <w:ind w:left="6480" w:hanging="360"/>
      </w:pPr>
      <w:rPr>
        <w:rFonts w:ascii="Wingdings" w:hAnsi="Wingdings"/>
      </w:rPr>
    </w:lvl>
  </w:abstractNum>
  <w:abstractNum w:abstractNumId="2" w15:restartNumberingAfterBreak="0">
    <w:nsid w:val="00000065"/>
    <w:multiLevelType w:val="hybridMultilevel"/>
    <w:tmpl w:val="00000065"/>
    <w:lvl w:ilvl="0" w:tplc="A2B6A654">
      <w:start w:val="1"/>
      <w:numFmt w:val="bullet"/>
      <w:lvlText w:val="•"/>
      <w:lvlJc w:val="left"/>
      <w:pPr>
        <w:tabs>
          <w:tab w:val="num" w:pos="2268"/>
        </w:tabs>
        <w:ind w:left="2268" w:hanging="151"/>
      </w:pPr>
      <w:rPr>
        <w:rFonts w:ascii="Calibri" w:eastAsia="Calibri" w:hAnsi="Calibri" w:cs="Calibri"/>
        <w:b w:val="0"/>
        <w:bCs w:val="0"/>
        <w:i w:val="0"/>
        <w:iCs w:val="0"/>
        <w:sz w:val="22"/>
      </w:rPr>
    </w:lvl>
    <w:lvl w:ilvl="1" w:tplc="59709E18">
      <w:start w:val="1"/>
      <w:numFmt w:val="bullet"/>
      <w:lvlText w:val="o"/>
      <w:lvlJc w:val="left"/>
      <w:pPr>
        <w:tabs>
          <w:tab w:val="num" w:pos="1440"/>
        </w:tabs>
        <w:ind w:left="1440" w:hanging="360"/>
      </w:pPr>
      <w:rPr>
        <w:rFonts w:ascii="Courier New" w:hAnsi="Courier New"/>
      </w:rPr>
    </w:lvl>
    <w:lvl w:ilvl="2" w:tplc="A50C41D8">
      <w:start w:val="1"/>
      <w:numFmt w:val="bullet"/>
      <w:lvlText w:val=""/>
      <w:lvlJc w:val="left"/>
      <w:pPr>
        <w:tabs>
          <w:tab w:val="num" w:pos="2160"/>
        </w:tabs>
        <w:ind w:left="2160" w:hanging="360"/>
      </w:pPr>
      <w:rPr>
        <w:rFonts w:ascii="Wingdings" w:hAnsi="Wingdings"/>
      </w:rPr>
    </w:lvl>
    <w:lvl w:ilvl="3" w:tplc="78ACCC62">
      <w:start w:val="1"/>
      <w:numFmt w:val="bullet"/>
      <w:lvlText w:val=""/>
      <w:lvlJc w:val="left"/>
      <w:pPr>
        <w:tabs>
          <w:tab w:val="num" w:pos="2880"/>
        </w:tabs>
        <w:ind w:left="2880" w:hanging="360"/>
      </w:pPr>
      <w:rPr>
        <w:rFonts w:ascii="Symbol" w:hAnsi="Symbol"/>
      </w:rPr>
    </w:lvl>
    <w:lvl w:ilvl="4" w:tplc="40F0942A">
      <w:start w:val="1"/>
      <w:numFmt w:val="bullet"/>
      <w:lvlText w:val="o"/>
      <w:lvlJc w:val="left"/>
      <w:pPr>
        <w:tabs>
          <w:tab w:val="num" w:pos="3600"/>
        </w:tabs>
        <w:ind w:left="3600" w:hanging="360"/>
      </w:pPr>
      <w:rPr>
        <w:rFonts w:ascii="Courier New" w:hAnsi="Courier New"/>
      </w:rPr>
    </w:lvl>
    <w:lvl w:ilvl="5" w:tplc="948A13F0">
      <w:start w:val="1"/>
      <w:numFmt w:val="bullet"/>
      <w:lvlText w:val=""/>
      <w:lvlJc w:val="left"/>
      <w:pPr>
        <w:tabs>
          <w:tab w:val="num" w:pos="4320"/>
        </w:tabs>
        <w:ind w:left="4320" w:hanging="360"/>
      </w:pPr>
      <w:rPr>
        <w:rFonts w:ascii="Wingdings" w:hAnsi="Wingdings"/>
      </w:rPr>
    </w:lvl>
    <w:lvl w:ilvl="6" w:tplc="38EAF2EA">
      <w:start w:val="1"/>
      <w:numFmt w:val="bullet"/>
      <w:lvlText w:val=""/>
      <w:lvlJc w:val="left"/>
      <w:pPr>
        <w:tabs>
          <w:tab w:val="num" w:pos="5040"/>
        </w:tabs>
        <w:ind w:left="5040" w:hanging="360"/>
      </w:pPr>
      <w:rPr>
        <w:rFonts w:ascii="Symbol" w:hAnsi="Symbol"/>
      </w:rPr>
    </w:lvl>
    <w:lvl w:ilvl="7" w:tplc="91E225A2">
      <w:start w:val="1"/>
      <w:numFmt w:val="bullet"/>
      <w:lvlText w:val="o"/>
      <w:lvlJc w:val="left"/>
      <w:pPr>
        <w:tabs>
          <w:tab w:val="num" w:pos="5760"/>
        </w:tabs>
        <w:ind w:left="5760" w:hanging="360"/>
      </w:pPr>
      <w:rPr>
        <w:rFonts w:ascii="Courier New" w:hAnsi="Courier New"/>
      </w:rPr>
    </w:lvl>
    <w:lvl w:ilvl="8" w:tplc="FD48770A">
      <w:start w:val="1"/>
      <w:numFmt w:val="bullet"/>
      <w:lvlText w:val=""/>
      <w:lvlJc w:val="left"/>
      <w:pPr>
        <w:tabs>
          <w:tab w:val="num" w:pos="6480"/>
        </w:tabs>
        <w:ind w:left="6480" w:hanging="360"/>
      </w:pPr>
      <w:rPr>
        <w:rFonts w:ascii="Wingdings" w:hAnsi="Wingdings"/>
      </w:rPr>
    </w:lvl>
  </w:abstractNum>
  <w:abstractNum w:abstractNumId="3" w15:restartNumberingAfterBreak="0">
    <w:nsid w:val="0000006D"/>
    <w:multiLevelType w:val="multilevel"/>
    <w:tmpl w:val="0000006D"/>
    <w:lvl w:ilvl="0">
      <w:start w:val="1"/>
      <w:numFmt w:val="decimal"/>
      <w:lvlText w:val="%1."/>
      <w:lvlJc w:val="left"/>
      <w:pPr>
        <w:tabs>
          <w:tab w:val="num" w:pos="1689"/>
        </w:tabs>
        <w:ind w:left="1689" w:hanging="712"/>
      </w:pPr>
      <w:rPr>
        <w:rFonts w:ascii="Calibri" w:eastAsia="Calibri" w:hAnsi="Calibri" w:cs="Calibri"/>
        <w:b w:val="0"/>
        <w:bCs w:val="0"/>
        <w:i w:val="0"/>
        <w:iCs w:val="0"/>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7865284"/>
    <w:multiLevelType w:val="multilevel"/>
    <w:tmpl w:val="73842B4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7FD2B00"/>
    <w:multiLevelType w:val="multilevel"/>
    <w:tmpl w:val="DA50F2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0A770E"/>
    <w:multiLevelType w:val="hybridMultilevel"/>
    <w:tmpl w:val="B8F047B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77912EE"/>
    <w:multiLevelType w:val="hybridMultilevel"/>
    <w:tmpl w:val="6DAAADCE"/>
    <w:lvl w:ilvl="0" w:tplc="E3E6A3B2">
      <w:start w:val="2"/>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33241E5B"/>
    <w:multiLevelType w:val="multilevel"/>
    <w:tmpl w:val="A4B89BD6"/>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602F0F"/>
    <w:multiLevelType w:val="multilevel"/>
    <w:tmpl w:val="2F82DB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27A65F4"/>
    <w:multiLevelType w:val="hybridMultilevel"/>
    <w:tmpl w:val="23CED6D6"/>
    <w:lvl w:ilvl="0" w:tplc="3B441522">
      <w:start w:val="1"/>
      <w:numFmt w:val="decimal"/>
      <w:lvlText w:val="%1."/>
      <w:lvlJc w:val="left"/>
      <w:pPr>
        <w:ind w:left="1440" w:hanging="360"/>
      </w:pPr>
      <w:rPr>
        <w:rFonts w:hint="default"/>
      </w:rPr>
    </w:lvl>
    <w:lvl w:ilvl="1" w:tplc="181A0019" w:tentative="1">
      <w:start w:val="1"/>
      <w:numFmt w:val="lowerLetter"/>
      <w:lvlText w:val="%2."/>
      <w:lvlJc w:val="left"/>
      <w:pPr>
        <w:ind w:left="2160" w:hanging="360"/>
      </w:pPr>
    </w:lvl>
    <w:lvl w:ilvl="2" w:tplc="181A001B" w:tentative="1">
      <w:start w:val="1"/>
      <w:numFmt w:val="lowerRoman"/>
      <w:lvlText w:val="%3."/>
      <w:lvlJc w:val="right"/>
      <w:pPr>
        <w:ind w:left="2880" w:hanging="180"/>
      </w:pPr>
    </w:lvl>
    <w:lvl w:ilvl="3" w:tplc="181A000F" w:tentative="1">
      <w:start w:val="1"/>
      <w:numFmt w:val="decimal"/>
      <w:lvlText w:val="%4."/>
      <w:lvlJc w:val="left"/>
      <w:pPr>
        <w:ind w:left="3600" w:hanging="360"/>
      </w:pPr>
    </w:lvl>
    <w:lvl w:ilvl="4" w:tplc="181A0019" w:tentative="1">
      <w:start w:val="1"/>
      <w:numFmt w:val="lowerLetter"/>
      <w:lvlText w:val="%5."/>
      <w:lvlJc w:val="left"/>
      <w:pPr>
        <w:ind w:left="4320" w:hanging="360"/>
      </w:pPr>
    </w:lvl>
    <w:lvl w:ilvl="5" w:tplc="181A001B" w:tentative="1">
      <w:start w:val="1"/>
      <w:numFmt w:val="lowerRoman"/>
      <w:lvlText w:val="%6."/>
      <w:lvlJc w:val="right"/>
      <w:pPr>
        <w:ind w:left="5040" w:hanging="180"/>
      </w:pPr>
    </w:lvl>
    <w:lvl w:ilvl="6" w:tplc="181A000F" w:tentative="1">
      <w:start w:val="1"/>
      <w:numFmt w:val="decimal"/>
      <w:lvlText w:val="%7."/>
      <w:lvlJc w:val="left"/>
      <w:pPr>
        <w:ind w:left="5760" w:hanging="360"/>
      </w:pPr>
    </w:lvl>
    <w:lvl w:ilvl="7" w:tplc="181A0019" w:tentative="1">
      <w:start w:val="1"/>
      <w:numFmt w:val="lowerLetter"/>
      <w:lvlText w:val="%8."/>
      <w:lvlJc w:val="left"/>
      <w:pPr>
        <w:ind w:left="6480" w:hanging="360"/>
      </w:pPr>
    </w:lvl>
    <w:lvl w:ilvl="8" w:tplc="181A001B" w:tentative="1">
      <w:start w:val="1"/>
      <w:numFmt w:val="lowerRoman"/>
      <w:lvlText w:val="%9."/>
      <w:lvlJc w:val="right"/>
      <w:pPr>
        <w:ind w:left="7200" w:hanging="180"/>
      </w:pPr>
    </w:lvl>
  </w:abstractNum>
  <w:abstractNum w:abstractNumId="11" w15:restartNumberingAfterBreak="0">
    <w:nsid w:val="7B5A0B6C"/>
    <w:multiLevelType w:val="hybridMultilevel"/>
    <w:tmpl w:val="83328B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68788990">
    <w:abstractNumId w:val="5"/>
  </w:num>
  <w:num w:numId="2" w16cid:durableId="117072302">
    <w:abstractNumId w:val="7"/>
  </w:num>
  <w:num w:numId="3" w16cid:durableId="2089501766">
    <w:abstractNumId w:val="8"/>
  </w:num>
  <w:num w:numId="4" w16cid:durableId="1422413518">
    <w:abstractNumId w:val="4"/>
  </w:num>
  <w:num w:numId="5" w16cid:durableId="288247022">
    <w:abstractNumId w:val="0"/>
  </w:num>
  <w:num w:numId="6" w16cid:durableId="263534353">
    <w:abstractNumId w:val="3"/>
  </w:num>
  <w:num w:numId="7" w16cid:durableId="768698034">
    <w:abstractNumId w:val="1"/>
  </w:num>
  <w:num w:numId="8" w16cid:durableId="1950501100">
    <w:abstractNumId w:val="2"/>
  </w:num>
  <w:num w:numId="9" w16cid:durableId="1352796876">
    <w:abstractNumId w:val="10"/>
  </w:num>
  <w:num w:numId="10" w16cid:durableId="2113621540">
    <w:abstractNumId w:val="6"/>
  </w:num>
  <w:num w:numId="11" w16cid:durableId="183717146">
    <w:abstractNumId w:val="9"/>
  </w:num>
  <w:num w:numId="12" w16cid:durableId="9902544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29"/>
    <w:rsid w:val="00027E9B"/>
    <w:rsid w:val="00053AF9"/>
    <w:rsid w:val="00054E51"/>
    <w:rsid w:val="0008539A"/>
    <w:rsid w:val="000861B5"/>
    <w:rsid w:val="00087EC1"/>
    <w:rsid w:val="000960D4"/>
    <w:rsid w:val="000A03C9"/>
    <w:rsid w:val="000C4CAD"/>
    <w:rsid w:val="000D4ECA"/>
    <w:rsid w:val="000E26DC"/>
    <w:rsid w:val="000E2929"/>
    <w:rsid w:val="000F0AC4"/>
    <w:rsid w:val="0011070C"/>
    <w:rsid w:val="00110D9A"/>
    <w:rsid w:val="0012239D"/>
    <w:rsid w:val="0012334F"/>
    <w:rsid w:val="00123849"/>
    <w:rsid w:val="00132632"/>
    <w:rsid w:val="00134821"/>
    <w:rsid w:val="00140CCE"/>
    <w:rsid w:val="00140FC7"/>
    <w:rsid w:val="00152E8E"/>
    <w:rsid w:val="0018260F"/>
    <w:rsid w:val="00186ADD"/>
    <w:rsid w:val="001A4659"/>
    <w:rsid w:val="001B22B5"/>
    <w:rsid w:val="001C4E24"/>
    <w:rsid w:val="001C505D"/>
    <w:rsid w:val="001E709E"/>
    <w:rsid w:val="001F6BE1"/>
    <w:rsid w:val="00207FBE"/>
    <w:rsid w:val="00213C60"/>
    <w:rsid w:val="002158F4"/>
    <w:rsid w:val="002324C6"/>
    <w:rsid w:val="00234427"/>
    <w:rsid w:val="002346DD"/>
    <w:rsid w:val="00240018"/>
    <w:rsid w:val="00250BBA"/>
    <w:rsid w:val="00252E45"/>
    <w:rsid w:val="0025612F"/>
    <w:rsid w:val="0026086E"/>
    <w:rsid w:val="0026195D"/>
    <w:rsid w:val="002670E6"/>
    <w:rsid w:val="00277556"/>
    <w:rsid w:val="0028218F"/>
    <w:rsid w:val="00297203"/>
    <w:rsid w:val="00297D7D"/>
    <w:rsid w:val="002D00C7"/>
    <w:rsid w:val="002D0BDB"/>
    <w:rsid w:val="002D6814"/>
    <w:rsid w:val="002E0F18"/>
    <w:rsid w:val="002E39F0"/>
    <w:rsid w:val="002F1E37"/>
    <w:rsid w:val="002F3F42"/>
    <w:rsid w:val="00301167"/>
    <w:rsid w:val="00346166"/>
    <w:rsid w:val="0034624B"/>
    <w:rsid w:val="003466E1"/>
    <w:rsid w:val="0035781C"/>
    <w:rsid w:val="003825DC"/>
    <w:rsid w:val="00390740"/>
    <w:rsid w:val="003A0B78"/>
    <w:rsid w:val="003C1100"/>
    <w:rsid w:val="003C2A2F"/>
    <w:rsid w:val="003E24EA"/>
    <w:rsid w:val="003F09FE"/>
    <w:rsid w:val="0040601E"/>
    <w:rsid w:val="004328D8"/>
    <w:rsid w:val="00451325"/>
    <w:rsid w:val="00452DEB"/>
    <w:rsid w:val="0046143C"/>
    <w:rsid w:val="00485C34"/>
    <w:rsid w:val="004B3F7E"/>
    <w:rsid w:val="004C4708"/>
    <w:rsid w:val="004C58E7"/>
    <w:rsid w:val="004D37A6"/>
    <w:rsid w:val="004D7D45"/>
    <w:rsid w:val="004E075B"/>
    <w:rsid w:val="004E2802"/>
    <w:rsid w:val="004E4B88"/>
    <w:rsid w:val="004F1632"/>
    <w:rsid w:val="00502332"/>
    <w:rsid w:val="00513845"/>
    <w:rsid w:val="00526F48"/>
    <w:rsid w:val="00531BD4"/>
    <w:rsid w:val="00532AFF"/>
    <w:rsid w:val="00541AF8"/>
    <w:rsid w:val="0055112D"/>
    <w:rsid w:val="00565F29"/>
    <w:rsid w:val="00573A64"/>
    <w:rsid w:val="00577DFC"/>
    <w:rsid w:val="00582385"/>
    <w:rsid w:val="005870F2"/>
    <w:rsid w:val="00591516"/>
    <w:rsid w:val="00594A00"/>
    <w:rsid w:val="0059544E"/>
    <w:rsid w:val="005A7917"/>
    <w:rsid w:val="005B1ED0"/>
    <w:rsid w:val="005B1F53"/>
    <w:rsid w:val="005E0BC5"/>
    <w:rsid w:val="005E13F5"/>
    <w:rsid w:val="005F3287"/>
    <w:rsid w:val="00610B46"/>
    <w:rsid w:val="00610B4E"/>
    <w:rsid w:val="00611B73"/>
    <w:rsid w:val="006172D3"/>
    <w:rsid w:val="006224B4"/>
    <w:rsid w:val="00632FF4"/>
    <w:rsid w:val="006403F2"/>
    <w:rsid w:val="006471A5"/>
    <w:rsid w:val="0066418E"/>
    <w:rsid w:val="0066529C"/>
    <w:rsid w:val="00682FCB"/>
    <w:rsid w:val="00684F5B"/>
    <w:rsid w:val="006874F0"/>
    <w:rsid w:val="00690AD6"/>
    <w:rsid w:val="0069282C"/>
    <w:rsid w:val="0069457A"/>
    <w:rsid w:val="006B2F26"/>
    <w:rsid w:val="006B3697"/>
    <w:rsid w:val="006C13E8"/>
    <w:rsid w:val="006C3596"/>
    <w:rsid w:val="006E5520"/>
    <w:rsid w:val="006F45F7"/>
    <w:rsid w:val="00705837"/>
    <w:rsid w:val="007066FC"/>
    <w:rsid w:val="00707C19"/>
    <w:rsid w:val="00711279"/>
    <w:rsid w:val="007464CD"/>
    <w:rsid w:val="007470C6"/>
    <w:rsid w:val="00752E1C"/>
    <w:rsid w:val="007569A7"/>
    <w:rsid w:val="00756CD2"/>
    <w:rsid w:val="0076283D"/>
    <w:rsid w:val="007652D2"/>
    <w:rsid w:val="00770083"/>
    <w:rsid w:val="007B0B9E"/>
    <w:rsid w:val="007B2CF5"/>
    <w:rsid w:val="007B4CDF"/>
    <w:rsid w:val="007C0B59"/>
    <w:rsid w:val="007C11EA"/>
    <w:rsid w:val="007C4F4B"/>
    <w:rsid w:val="007E02E5"/>
    <w:rsid w:val="007E09CF"/>
    <w:rsid w:val="007E4EF3"/>
    <w:rsid w:val="007F0141"/>
    <w:rsid w:val="008176F3"/>
    <w:rsid w:val="00833A00"/>
    <w:rsid w:val="00835460"/>
    <w:rsid w:val="00836A24"/>
    <w:rsid w:val="00840E41"/>
    <w:rsid w:val="00842A15"/>
    <w:rsid w:val="00851225"/>
    <w:rsid w:val="00857E4A"/>
    <w:rsid w:val="00860995"/>
    <w:rsid w:val="00865E8C"/>
    <w:rsid w:val="008916B0"/>
    <w:rsid w:val="00896E9B"/>
    <w:rsid w:val="008A071F"/>
    <w:rsid w:val="008A3811"/>
    <w:rsid w:val="008A513A"/>
    <w:rsid w:val="008B6844"/>
    <w:rsid w:val="008C14BC"/>
    <w:rsid w:val="008C39D6"/>
    <w:rsid w:val="008E6564"/>
    <w:rsid w:val="008E6FDC"/>
    <w:rsid w:val="008F1DD7"/>
    <w:rsid w:val="008F72E8"/>
    <w:rsid w:val="009121C5"/>
    <w:rsid w:val="0094019B"/>
    <w:rsid w:val="00983319"/>
    <w:rsid w:val="009915EE"/>
    <w:rsid w:val="00994155"/>
    <w:rsid w:val="009A00E4"/>
    <w:rsid w:val="009B7AE5"/>
    <w:rsid w:val="009C5140"/>
    <w:rsid w:val="009D48E9"/>
    <w:rsid w:val="009E41C4"/>
    <w:rsid w:val="00A039B5"/>
    <w:rsid w:val="00A124C2"/>
    <w:rsid w:val="00A12ABE"/>
    <w:rsid w:val="00A14DF6"/>
    <w:rsid w:val="00A15599"/>
    <w:rsid w:val="00A2485F"/>
    <w:rsid w:val="00A341B9"/>
    <w:rsid w:val="00A54A4B"/>
    <w:rsid w:val="00A54AA7"/>
    <w:rsid w:val="00A560D6"/>
    <w:rsid w:val="00A705ED"/>
    <w:rsid w:val="00A77468"/>
    <w:rsid w:val="00A81567"/>
    <w:rsid w:val="00A87D13"/>
    <w:rsid w:val="00A94245"/>
    <w:rsid w:val="00A967D3"/>
    <w:rsid w:val="00AA2B9F"/>
    <w:rsid w:val="00AA6C3F"/>
    <w:rsid w:val="00AB3086"/>
    <w:rsid w:val="00AE1F95"/>
    <w:rsid w:val="00AF2D92"/>
    <w:rsid w:val="00AF33A4"/>
    <w:rsid w:val="00AF5DA8"/>
    <w:rsid w:val="00B02889"/>
    <w:rsid w:val="00B17758"/>
    <w:rsid w:val="00B21E91"/>
    <w:rsid w:val="00B42E9E"/>
    <w:rsid w:val="00B74A61"/>
    <w:rsid w:val="00B96E14"/>
    <w:rsid w:val="00BA6F81"/>
    <w:rsid w:val="00BB312C"/>
    <w:rsid w:val="00BD16FA"/>
    <w:rsid w:val="00BD1CD0"/>
    <w:rsid w:val="00BE5E6D"/>
    <w:rsid w:val="00BE6134"/>
    <w:rsid w:val="00BF4F9C"/>
    <w:rsid w:val="00BF7EB0"/>
    <w:rsid w:val="00C15EDA"/>
    <w:rsid w:val="00C200C6"/>
    <w:rsid w:val="00C24737"/>
    <w:rsid w:val="00C36E36"/>
    <w:rsid w:val="00C3790B"/>
    <w:rsid w:val="00C464F1"/>
    <w:rsid w:val="00C47275"/>
    <w:rsid w:val="00C53A3D"/>
    <w:rsid w:val="00C57A1F"/>
    <w:rsid w:val="00C83B2D"/>
    <w:rsid w:val="00C83CDB"/>
    <w:rsid w:val="00C93AFF"/>
    <w:rsid w:val="00CC0FE5"/>
    <w:rsid w:val="00CF62C9"/>
    <w:rsid w:val="00D155AE"/>
    <w:rsid w:val="00D24096"/>
    <w:rsid w:val="00D34367"/>
    <w:rsid w:val="00D46173"/>
    <w:rsid w:val="00D8444C"/>
    <w:rsid w:val="00D95602"/>
    <w:rsid w:val="00D975C4"/>
    <w:rsid w:val="00D97E75"/>
    <w:rsid w:val="00DA0E68"/>
    <w:rsid w:val="00DA5D00"/>
    <w:rsid w:val="00DB2E93"/>
    <w:rsid w:val="00DD26BD"/>
    <w:rsid w:val="00DD6B23"/>
    <w:rsid w:val="00DE5D7D"/>
    <w:rsid w:val="00DF38DD"/>
    <w:rsid w:val="00DF732E"/>
    <w:rsid w:val="00E00334"/>
    <w:rsid w:val="00E03C10"/>
    <w:rsid w:val="00E41172"/>
    <w:rsid w:val="00E52F9B"/>
    <w:rsid w:val="00E722F2"/>
    <w:rsid w:val="00E827F9"/>
    <w:rsid w:val="00E965B3"/>
    <w:rsid w:val="00EA2971"/>
    <w:rsid w:val="00ED0040"/>
    <w:rsid w:val="00ED7D40"/>
    <w:rsid w:val="00F1662A"/>
    <w:rsid w:val="00F36F23"/>
    <w:rsid w:val="00F510FB"/>
    <w:rsid w:val="00F57825"/>
    <w:rsid w:val="00F73EE4"/>
    <w:rsid w:val="00F769A0"/>
    <w:rsid w:val="00F92920"/>
    <w:rsid w:val="00FA20C4"/>
    <w:rsid w:val="00FC0B11"/>
    <w:rsid w:val="00FC2ABF"/>
    <w:rsid w:val="00FF4BE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D4A9"/>
  <w15:chartTrackingRefBased/>
  <w15:docId w15:val="{8DEC9F3E-4730-4DA8-9CBD-328FE5D55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341B9"/>
    <w:pPr>
      <w:ind w:left="720"/>
      <w:contextualSpacing/>
    </w:pPr>
  </w:style>
  <w:style w:type="character" w:styleId="Tekstrezerviranogmjesta">
    <w:name w:val="Placeholder Text"/>
    <w:basedOn w:val="Zadanifontodlomka"/>
    <w:uiPriority w:val="99"/>
    <w:semiHidden/>
    <w:rsid w:val="00573A64"/>
    <w:rPr>
      <w:color w:val="808080"/>
    </w:rPr>
  </w:style>
  <w:style w:type="table" w:styleId="Reetkatablice">
    <w:name w:val="Table Grid"/>
    <w:basedOn w:val="Obinatablica"/>
    <w:uiPriority w:val="39"/>
    <w:rsid w:val="009C5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A2971"/>
    <w:pPr>
      <w:widowControl w:val="0"/>
      <w:autoSpaceDE w:val="0"/>
      <w:autoSpaceDN w:val="0"/>
      <w:spacing w:after="0" w:line="240" w:lineRule="auto"/>
    </w:pPr>
    <w:rPr>
      <w:rFonts w:ascii="Arial" w:eastAsia="Arial" w:hAnsi="Arial" w:cs="Arial"/>
      <w:kern w:val="0"/>
      <w:lang w:val="bs"/>
      <w14:ligatures w14:val="none"/>
    </w:rPr>
  </w:style>
  <w:style w:type="table" w:customStyle="1" w:styleId="TableNormal1">
    <w:name w:val="Table Normal1"/>
    <w:uiPriority w:val="2"/>
    <w:semiHidden/>
    <w:qFormat/>
    <w:rsid w:val="00EA2971"/>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character" w:styleId="Hiperveza">
    <w:name w:val="Hyperlink"/>
    <w:basedOn w:val="Zadanifontodlomka"/>
    <w:uiPriority w:val="99"/>
    <w:unhideWhenUsed/>
    <w:rsid w:val="00682FCB"/>
    <w:rPr>
      <w:color w:val="0563C1" w:themeColor="hyperlink"/>
      <w:u w:val="single"/>
    </w:rPr>
  </w:style>
  <w:style w:type="character" w:styleId="Nerijeenospominjanje">
    <w:name w:val="Unresolved Mention"/>
    <w:basedOn w:val="Zadanifontodlomka"/>
    <w:uiPriority w:val="99"/>
    <w:semiHidden/>
    <w:unhideWhenUsed/>
    <w:rsid w:val="00682FCB"/>
    <w:rPr>
      <w:color w:val="605E5C"/>
      <w:shd w:val="clear" w:color="auto" w:fill="E1DFDD"/>
    </w:rPr>
  </w:style>
  <w:style w:type="table" w:customStyle="1" w:styleId="Reetkatablice1">
    <w:name w:val="Rešetka tablice1"/>
    <w:basedOn w:val="Obinatablica"/>
    <w:next w:val="Reetkatablice"/>
    <w:uiPriority w:val="39"/>
    <w:rsid w:val="00D24096"/>
    <w:pPr>
      <w:spacing w:after="0" w:line="240" w:lineRule="auto"/>
    </w:pPr>
    <w:rPr>
      <w:kern w:val="0"/>
      <w:lang w:val="sr-Latn-B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0A03C9"/>
    <w:pPr>
      <w:spacing w:after="0" w:line="240" w:lineRule="auto"/>
    </w:pPr>
    <w:rPr>
      <w:kern w:val="0"/>
      <w:lang w:val="sr-Latn-B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Web1">
    <w:name w:val="Standard (Web)1"/>
    <w:basedOn w:val="Normal"/>
    <w:rsid w:val="00C83CDB"/>
    <w:pPr>
      <w:spacing w:before="280" w:after="280" w:line="240" w:lineRule="auto"/>
    </w:pPr>
    <w:rPr>
      <w:rFonts w:ascii="Times New Roman" w:eastAsia="Times New Roma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1530">
      <w:bodyDiv w:val="1"/>
      <w:marLeft w:val="0"/>
      <w:marRight w:val="0"/>
      <w:marTop w:val="0"/>
      <w:marBottom w:val="0"/>
      <w:divBdr>
        <w:top w:val="none" w:sz="0" w:space="0" w:color="auto"/>
        <w:left w:val="none" w:sz="0" w:space="0" w:color="auto"/>
        <w:bottom w:val="none" w:sz="0" w:space="0" w:color="auto"/>
        <w:right w:val="none" w:sz="0" w:space="0" w:color="auto"/>
      </w:divBdr>
    </w:div>
    <w:div w:id="202493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6161</Words>
  <Characters>35122</Characters>
  <Application>Microsoft Office Word</Application>
  <DocSecurity>0</DocSecurity>
  <Lines>292</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sanda</dc:creator>
  <cp:keywords/>
  <dc:description/>
  <cp:lastModifiedBy>Rojnica Ivana</cp:lastModifiedBy>
  <cp:revision>2</cp:revision>
  <dcterms:created xsi:type="dcterms:W3CDTF">2023-11-15T10:06:00Z</dcterms:created>
  <dcterms:modified xsi:type="dcterms:W3CDTF">2023-11-15T10:06:00Z</dcterms:modified>
</cp:coreProperties>
</file>